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36"/>
          <w:szCs w:val="40"/>
          <w:lang w:eastAsia="zh-CN"/>
        </w:rPr>
      </w:pPr>
      <w:r>
        <w:rPr>
          <w:rFonts w:hint="eastAsia"/>
          <w:b/>
          <w:bCs/>
          <w:sz w:val="36"/>
          <w:szCs w:val="40"/>
          <w:lang w:eastAsia="zh-CN"/>
        </w:rPr>
        <w:t>汉川市人民医院</w:t>
      </w:r>
    </w:p>
    <w:p>
      <w:pPr>
        <w:bidi w:val="0"/>
        <w:jc w:val="center"/>
        <w:rPr>
          <w:rFonts w:hint="eastAsia"/>
          <w:b/>
          <w:bCs/>
          <w:sz w:val="36"/>
          <w:szCs w:val="40"/>
        </w:rPr>
      </w:pPr>
      <w:r>
        <w:rPr>
          <w:rFonts w:hint="eastAsia"/>
          <w:b/>
          <w:bCs/>
          <w:sz w:val="36"/>
          <w:szCs w:val="40"/>
        </w:rPr>
        <w:t>数据库运维项目采购需求</w:t>
      </w:r>
    </w:p>
    <w:p/>
    <w:p>
      <w:pPr>
        <w:pStyle w:val="4"/>
        <w:rPr>
          <w:rFonts w:ascii="宋体" w:hAnsi="宋体" w:eastAsia="宋体"/>
          <w:color w:val="000000" w:themeColor="text1"/>
          <w14:textFill>
            <w14:solidFill>
              <w14:schemeClr w14:val="tx1"/>
            </w14:solidFill>
          </w14:textFill>
        </w:rPr>
      </w:pPr>
      <w:bookmarkStart w:id="0" w:name="_Toc393658546"/>
      <w:bookmarkStart w:id="1" w:name="_Toc393657579"/>
      <w:bookmarkStart w:id="2" w:name="_Toc393658214"/>
      <w:bookmarkStart w:id="3" w:name="_Toc393658542"/>
      <w:bookmarkStart w:id="4" w:name="_Toc393657095"/>
      <w:r>
        <w:rPr>
          <w:rFonts w:hint="eastAsia" w:ascii="宋体" w:hAnsi="宋体" w:eastAsia="宋体"/>
          <w:color w:val="000000" w:themeColor="text1"/>
          <w14:textFill>
            <w14:solidFill>
              <w14:schemeClr w14:val="tx1"/>
            </w14:solidFill>
          </w14:textFill>
        </w:rPr>
        <w:t>建设</w:t>
      </w:r>
      <w:r>
        <w:rPr>
          <w:rFonts w:ascii="宋体" w:hAnsi="宋体" w:eastAsia="宋体"/>
          <w:color w:val="000000" w:themeColor="text1"/>
          <w14:textFill>
            <w14:solidFill>
              <w14:schemeClr w14:val="tx1"/>
            </w14:solidFill>
          </w14:textFill>
        </w:rPr>
        <w:t>目标</w:t>
      </w:r>
      <w:bookmarkEnd w:id="0"/>
    </w:p>
    <w:p>
      <w:pPr>
        <w:widowControl/>
        <w:spacing w:line="420" w:lineRule="atLeast"/>
        <w:ind w:firstLine="480" w:firstLineChars="200"/>
        <w:jc w:val="left"/>
        <w:rPr>
          <w:rFonts w:ascii="宋体" w:hAnsi="宋体" w:eastAsia="宋体" w:cs="宋体"/>
          <w:sz w:val="24"/>
          <w:szCs w:val="24"/>
        </w:rPr>
      </w:pPr>
      <w:r>
        <w:rPr>
          <w:rFonts w:ascii="宋体" w:hAnsi="宋体" w:eastAsia="宋体" w:cs="宋体"/>
          <w:sz w:val="24"/>
          <w:szCs w:val="24"/>
        </w:rPr>
        <w:t>本</w:t>
      </w:r>
      <w:r>
        <w:rPr>
          <w:rFonts w:hint="eastAsia" w:ascii="宋体" w:hAnsi="宋体" w:eastAsia="宋体" w:cs="宋体"/>
          <w:sz w:val="24"/>
          <w:szCs w:val="24"/>
        </w:rPr>
        <w:t>数据库运维</w:t>
      </w:r>
      <w:r>
        <w:rPr>
          <w:rFonts w:ascii="宋体" w:hAnsi="宋体" w:eastAsia="宋体" w:cs="宋体"/>
          <w:sz w:val="24"/>
          <w:szCs w:val="24"/>
        </w:rPr>
        <w:t>项目</w:t>
      </w:r>
      <w:r>
        <w:rPr>
          <w:rFonts w:hint="eastAsia" w:ascii="宋体" w:hAnsi="宋体" w:eastAsia="宋体" w:cs="宋体"/>
          <w:sz w:val="24"/>
          <w:szCs w:val="24"/>
        </w:rPr>
        <w:t>（</w:t>
      </w:r>
      <w:r>
        <w:rPr>
          <w:rFonts w:ascii="宋体" w:hAnsi="宋体" w:eastAsia="宋体" w:cs="宋体"/>
          <w:sz w:val="24"/>
          <w:szCs w:val="24"/>
        </w:rPr>
        <w:t>运维服务</w:t>
      </w:r>
      <w:r>
        <w:rPr>
          <w:rFonts w:hint="eastAsia" w:ascii="宋体" w:hAnsi="宋体" w:eastAsia="宋体" w:cs="宋体"/>
          <w:sz w:val="24"/>
          <w:szCs w:val="24"/>
        </w:rPr>
        <w:t>）</w:t>
      </w:r>
      <w:r>
        <w:rPr>
          <w:rFonts w:ascii="宋体" w:hAnsi="宋体" w:eastAsia="宋体" w:cs="宋体"/>
          <w:sz w:val="24"/>
          <w:szCs w:val="24"/>
        </w:rPr>
        <w:t>目标如下</w:t>
      </w:r>
      <w:r>
        <w:rPr>
          <w:rFonts w:hint="eastAsia" w:ascii="宋体" w:hAnsi="宋体" w:eastAsia="宋体" w:cs="宋体"/>
          <w:sz w:val="24"/>
          <w:szCs w:val="24"/>
        </w:rPr>
        <w:t>：</w:t>
      </w:r>
    </w:p>
    <w:p>
      <w:pPr>
        <w:pStyle w:val="59"/>
        <w:numPr>
          <w:ilvl w:val="0"/>
          <w:numId w:val="8"/>
        </w:numPr>
        <w:spacing w:line="360" w:lineRule="auto"/>
        <w:ind w:firstLineChars="0"/>
        <w:rPr>
          <w:rFonts w:hint="eastAsia" w:asciiTheme="majorEastAsia" w:hAnsiTheme="majorEastAsia" w:eastAsiaTheme="majorEastAsia"/>
          <w:sz w:val="24"/>
        </w:rPr>
      </w:pPr>
      <w:r>
        <w:rPr>
          <w:rFonts w:hint="eastAsia" w:asciiTheme="majorEastAsia" w:hAnsiTheme="majorEastAsia" w:eastAsiaTheme="majorEastAsia"/>
          <w:sz w:val="24"/>
        </w:rPr>
        <w:t>提供7×24小时数据库技术支持服务，包括数据</w:t>
      </w:r>
      <w:r>
        <w:rPr>
          <w:rFonts w:hint="eastAsia" w:asciiTheme="majorEastAsia" w:hAnsiTheme="majorEastAsia" w:eastAsiaTheme="majorEastAsia"/>
          <w:sz w:val="24"/>
          <w:lang w:eastAsia="zh-CN"/>
        </w:rPr>
        <w:t>库</w:t>
      </w:r>
      <w:r>
        <w:rPr>
          <w:rFonts w:hint="eastAsia" w:asciiTheme="majorEastAsia" w:hAnsiTheme="majorEastAsia" w:eastAsiaTheme="majorEastAsia"/>
          <w:sz w:val="24"/>
        </w:rPr>
        <w:t>安装、迁移、升级、系统切换等技术支持及咨询服务。</w:t>
      </w:r>
    </w:p>
    <w:p>
      <w:pPr>
        <w:pStyle w:val="59"/>
        <w:numPr>
          <w:ilvl w:val="0"/>
          <w:numId w:val="8"/>
        </w:numPr>
        <w:spacing w:line="360" w:lineRule="auto"/>
        <w:ind w:firstLineChars="0"/>
        <w:rPr>
          <w:rFonts w:hint="eastAsia" w:asciiTheme="majorEastAsia" w:hAnsiTheme="majorEastAsia" w:eastAsiaTheme="majorEastAsia"/>
          <w:sz w:val="24"/>
        </w:rPr>
      </w:pPr>
      <w:r>
        <w:rPr>
          <w:rFonts w:hint="eastAsia" w:asciiTheme="majorEastAsia" w:hAnsiTheme="majorEastAsia" w:eastAsiaTheme="majorEastAsia"/>
          <w:sz w:val="24"/>
        </w:rPr>
        <w:t>提供紧急现场技术支持，远程接入服务。</w:t>
      </w:r>
    </w:p>
    <w:p>
      <w:pPr>
        <w:pStyle w:val="59"/>
        <w:numPr>
          <w:ilvl w:val="0"/>
          <w:numId w:val="8"/>
        </w:numPr>
        <w:spacing w:line="360" w:lineRule="auto"/>
        <w:ind w:firstLineChars="0"/>
        <w:rPr>
          <w:rFonts w:asciiTheme="majorEastAsia" w:hAnsiTheme="majorEastAsia" w:eastAsiaTheme="majorEastAsia"/>
          <w:sz w:val="24"/>
        </w:rPr>
      </w:pPr>
      <w:r>
        <w:rPr>
          <w:rFonts w:hint="eastAsia" w:asciiTheme="majorEastAsia" w:hAnsiTheme="majorEastAsia" w:eastAsiaTheme="majorEastAsia"/>
          <w:sz w:val="24"/>
        </w:rPr>
        <w:t>提供定期系统健康检查服务，确保维护清单范围内的所有数据库稳定运行。</w:t>
      </w:r>
    </w:p>
    <w:p>
      <w:pPr>
        <w:pStyle w:val="59"/>
        <w:numPr>
          <w:ilvl w:val="0"/>
          <w:numId w:val="8"/>
        </w:numPr>
        <w:spacing w:line="360" w:lineRule="auto"/>
        <w:ind w:firstLineChars="0"/>
        <w:rPr>
          <w:rFonts w:asciiTheme="majorEastAsia" w:hAnsiTheme="majorEastAsia" w:eastAsiaTheme="majorEastAsia"/>
          <w:sz w:val="24"/>
        </w:rPr>
      </w:pPr>
      <w:r>
        <w:rPr>
          <w:rFonts w:hint="eastAsia" w:asciiTheme="majorEastAsia" w:hAnsiTheme="majorEastAsia" w:eastAsiaTheme="majorEastAsia"/>
          <w:sz w:val="24"/>
          <w:lang w:eastAsia="zh-CN"/>
        </w:rPr>
        <w:t>对数据库健康状况进行持续性跟踪，根据实际情况，及时提供调优服务。</w:t>
      </w:r>
    </w:p>
    <w:p>
      <w:pPr>
        <w:pStyle w:val="59"/>
        <w:numPr>
          <w:ilvl w:val="0"/>
          <w:numId w:val="8"/>
        </w:numPr>
        <w:spacing w:line="360" w:lineRule="auto"/>
        <w:ind w:firstLineChars="0"/>
        <w:rPr>
          <w:rFonts w:asciiTheme="majorEastAsia" w:hAnsiTheme="majorEastAsia" w:eastAsiaTheme="majorEastAsia"/>
          <w:sz w:val="24"/>
        </w:rPr>
      </w:pPr>
      <w:r>
        <w:rPr>
          <w:rFonts w:hint="eastAsia" w:asciiTheme="majorEastAsia" w:hAnsiTheme="majorEastAsia" w:eastAsiaTheme="majorEastAsia"/>
          <w:sz w:val="24"/>
        </w:rPr>
        <w:t>配合医院重要项目工作需要（如安装、升级、联网、业务合并或拓展等），提供技术协助服务，安排工程师到现场支持。</w:t>
      </w:r>
    </w:p>
    <w:p>
      <w:pPr>
        <w:pStyle w:val="4"/>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目标</w:t>
      </w:r>
      <w:bookmarkEnd w:id="1"/>
      <w:bookmarkEnd w:id="2"/>
      <w:bookmarkEnd w:id="3"/>
      <w:bookmarkEnd w:id="4"/>
      <w:r>
        <w:rPr>
          <w:rFonts w:hint="eastAsia" w:ascii="宋体" w:hAnsi="宋体" w:eastAsia="宋体"/>
          <w:color w:val="000000" w:themeColor="text1"/>
          <w14:textFill>
            <w14:solidFill>
              <w14:schemeClr w14:val="tx1"/>
            </w14:solidFill>
          </w14:textFill>
        </w:rPr>
        <w:t>原则</w:t>
      </w:r>
    </w:p>
    <w:p>
      <w:pPr>
        <w:pStyle w:val="5"/>
      </w:pPr>
      <w:bookmarkStart w:id="5" w:name="_Toc393658543"/>
      <w:r>
        <w:rPr>
          <w:rFonts w:hint="eastAsia"/>
        </w:rPr>
        <w:t>可用性</w:t>
      </w:r>
      <w:bookmarkEnd w:id="5"/>
      <w:r>
        <w:rPr>
          <w:rFonts w:hint="eastAsia"/>
        </w:rPr>
        <w:t xml:space="preserve"> </w:t>
      </w:r>
    </w:p>
    <w:p>
      <w:pPr>
        <w:widowControl/>
        <w:spacing w:line="420" w:lineRule="atLeas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项目建设目标主要体现在数据库7*24小时可用。应用软件功能完整的情况下，数据库随时可以支持业务系统的相关数据服务要求。支持服务包括在约定的响应时间(Response Time)内得到技术人员的支持并且解决相关数据库问题，并提供客户7*24小时全年无间断的支持服务，保障客户对数据库可用性的需求。 </w:t>
      </w:r>
    </w:p>
    <w:p>
      <w:pPr>
        <w:pStyle w:val="5"/>
      </w:pPr>
      <w:bookmarkStart w:id="6" w:name="_Toc393658544"/>
      <w:r>
        <w:rPr>
          <w:rFonts w:hint="eastAsia"/>
        </w:rPr>
        <w:t>安全性</w:t>
      </w:r>
      <w:bookmarkEnd w:id="6"/>
      <w:r>
        <w:rPr>
          <w:rFonts w:hint="eastAsia"/>
        </w:rPr>
        <w:t xml:space="preserve"> </w:t>
      </w:r>
    </w:p>
    <w:p>
      <w:pPr>
        <w:widowControl/>
        <w:spacing w:line="420" w:lineRule="atLeas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除了与用户签署数据保密协议之外，</w:t>
      </w:r>
      <w:r>
        <w:rPr>
          <w:rFonts w:hint="eastAsia" w:ascii="宋体" w:hAnsi="宋体" w:eastAsia="宋体" w:cs="宋体"/>
          <w:color w:val="000000" w:themeColor="text1"/>
          <w:sz w:val="24"/>
          <w:szCs w:val="24"/>
          <w:lang w:eastAsia="zh-CN"/>
          <w14:textFill>
            <w14:solidFill>
              <w14:schemeClr w14:val="tx1"/>
            </w14:solidFill>
          </w14:textFill>
        </w:rPr>
        <w:t>还</w:t>
      </w:r>
      <w:r>
        <w:rPr>
          <w:rFonts w:hint="eastAsia" w:ascii="宋体" w:hAnsi="宋体" w:eastAsia="宋体" w:cs="宋体"/>
          <w:color w:val="000000" w:themeColor="text1"/>
          <w:sz w:val="24"/>
          <w:szCs w:val="24"/>
          <w14:textFill>
            <w14:solidFill>
              <w14:schemeClr w14:val="tx1"/>
            </w14:solidFill>
          </w14:textFill>
        </w:rPr>
        <w:t>需要提供从网络物理架构、系统软件平台、应用软件、管理方法等各方面</w:t>
      </w:r>
      <w:r>
        <w:rPr>
          <w:rFonts w:hint="eastAsia" w:ascii="宋体" w:hAnsi="宋体" w:eastAsia="宋体" w:cs="宋体"/>
          <w:color w:val="000000" w:themeColor="text1"/>
          <w:sz w:val="24"/>
          <w:szCs w:val="24"/>
          <w:lang w:eastAsia="zh-CN"/>
          <w14:textFill>
            <w14:solidFill>
              <w14:schemeClr w14:val="tx1"/>
            </w14:solidFill>
          </w14:textFill>
        </w:rPr>
        <w:t>及时有效的评估维保内数据库的数据安全性，及时提出整改意见，确保数据的安全性</w:t>
      </w:r>
      <w:r>
        <w:rPr>
          <w:rFonts w:hint="eastAsia" w:ascii="宋体" w:hAnsi="宋体" w:eastAsia="宋体" w:cs="宋体"/>
          <w:color w:val="000000" w:themeColor="text1"/>
          <w:sz w:val="24"/>
          <w:szCs w:val="24"/>
          <w14:textFill>
            <w14:solidFill>
              <w14:schemeClr w14:val="tx1"/>
            </w14:solidFill>
          </w14:textFill>
        </w:rPr>
        <w:t>。</w:t>
      </w:r>
    </w:p>
    <w:p>
      <w:pPr>
        <w:pStyle w:val="5"/>
      </w:pPr>
      <w:bookmarkStart w:id="7" w:name="_Toc393658545"/>
      <w:r>
        <w:rPr>
          <w:rFonts w:hint="eastAsia"/>
        </w:rPr>
        <w:t>效能性</w:t>
      </w:r>
      <w:bookmarkEnd w:id="7"/>
    </w:p>
    <w:p>
      <w:pPr>
        <w:widowControl/>
        <w:spacing w:line="420" w:lineRule="atLeas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据库的效能性则主要表现在应用软件访问数据库时，数据库高效合理的响应业务系统的请求，快速的完成数据相关的查询、修改、存储等工作。要实现数据库的效能性，除了平时的正确维护以外，还需要对日常工作中发现的问题，同业务人员、管理人员、运维人员等多方协同进行数据库调优，从而使得数据库有用较高的效能性。</w:t>
      </w:r>
    </w:p>
    <w:p>
      <w:pPr>
        <w:pStyle w:val="4"/>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服务方技术能力及资质要求</w:t>
      </w:r>
    </w:p>
    <w:p>
      <w:pPr>
        <w:spacing w:line="360" w:lineRule="auto"/>
        <w:jc w:val="left"/>
        <w:rPr>
          <w:sz w:val="24"/>
        </w:rPr>
      </w:pPr>
      <w:r>
        <w:rPr>
          <w:rFonts w:hint="eastAsia"/>
          <w:sz w:val="24"/>
        </w:rPr>
        <w:t>投标人在湖北的技术团队资源，至少需要满足以下要求（提供证明文件）：</w:t>
      </w:r>
    </w:p>
    <w:p>
      <w:pPr>
        <w:pStyle w:val="59"/>
        <w:numPr>
          <w:ilvl w:val="0"/>
          <w:numId w:val="9"/>
        </w:numPr>
        <w:spacing w:line="360" w:lineRule="auto"/>
        <w:ind w:firstLineChars="0"/>
        <w:jc w:val="left"/>
        <w:rPr>
          <w:rFonts w:asciiTheme="majorEastAsia" w:hAnsiTheme="majorEastAsia" w:eastAsiaTheme="majorEastAsia"/>
          <w:sz w:val="24"/>
        </w:rPr>
      </w:pPr>
      <w:r>
        <w:rPr>
          <w:rFonts w:hint="eastAsia" w:asciiTheme="majorEastAsia" w:hAnsiTheme="majorEastAsia" w:eastAsiaTheme="majorEastAsia"/>
          <w:sz w:val="24"/>
        </w:rPr>
        <w:t>运维人员拥有Oracle Database 10g Administrator Certified Professional及以上证书。</w:t>
      </w:r>
    </w:p>
    <w:p>
      <w:pPr>
        <w:pStyle w:val="59"/>
        <w:numPr>
          <w:ilvl w:val="0"/>
          <w:numId w:val="9"/>
        </w:numPr>
        <w:spacing w:line="360" w:lineRule="auto"/>
        <w:ind w:firstLineChars="0"/>
        <w:jc w:val="left"/>
        <w:rPr>
          <w:rFonts w:asciiTheme="majorEastAsia" w:hAnsiTheme="majorEastAsia" w:eastAsiaTheme="majorEastAsia"/>
          <w:sz w:val="24"/>
        </w:rPr>
      </w:pPr>
      <w:r>
        <w:rPr>
          <w:rFonts w:hint="eastAsia" w:asciiTheme="majorEastAsia" w:hAnsiTheme="majorEastAsia" w:eastAsiaTheme="majorEastAsia"/>
          <w:sz w:val="24"/>
        </w:rPr>
        <w:t>团队熟悉Oracle、SQL Server、DB2等主流数据库的配置及故障问题处理能力与运维经验。</w:t>
      </w:r>
    </w:p>
    <w:p>
      <w:pPr>
        <w:pStyle w:val="59"/>
        <w:numPr>
          <w:ilvl w:val="0"/>
          <w:numId w:val="9"/>
        </w:numPr>
        <w:spacing w:line="360" w:lineRule="auto"/>
        <w:ind w:firstLineChars="0"/>
        <w:jc w:val="left"/>
      </w:pPr>
      <w:r>
        <w:rPr>
          <w:rFonts w:hint="eastAsia" w:asciiTheme="majorEastAsia" w:hAnsiTheme="majorEastAsia" w:eastAsiaTheme="majorEastAsia"/>
          <w:sz w:val="24"/>
        </w:rPr>
        <w:t>公司有</w:t>
      </w:r>
      <w:r>
        <w:rPr>
          <w:rFonts w:hint="eastAsia" w:asciiTheme="majorEastAsia" w:hAnsiTheme="majorEastAsia" w:eastAsiaTheme="majorEastAsia"/>
          <w:sz w:val="24"/>
          <w:lang w:val="en-US" w:eastAsia="zh-CN"/>
        </w:rPr>
        <w:t>Oracle等</w:t>
      </w:r>
      <w:r>
        <w:rPr>
          <w:rFonts w:hint="eastAsia" w:asciiTheme="majorEastAsia" w:hAnsiTheme="majorEastAsia" w:eastAsiaTheme="majorEastAsia"/>
          <w:sz w:val="24"/>
          <w:lang w:eastAsia="zh-CN"/>
        </w:rPr>
        <w:t>数据库</w:t>
      </w:r>
      <w:r>
        <w:rPr>
          <w:rFonts w:hint="eastAsia" w:asciiTheme="majorEastAsia" w:hAnsiTheme="majorEastAsia" w:eastAsiaTheme="majorEastAsia"/>
          <w:sz w:val="24"/>
        </w:rPr>
        <w:t>运维项目案例，提供三年内运维案例合同。</w:t>
      </w:r>
    </w:p>
    <w:p>
      <w:pPr>
        <w:pStyle w:val="4"/>
        <w:rPr>
          <w:rFonts w:ascii="宋体" w:hAnsi="宋体" w:eastAsia="宋体"/>
          <w:color w:val="000000" w:themeColor="text1"/>
          <w14:textFill>
            <w14:solidFill>
              <w14:schemeClr w14:val="tx1"/>
            </w14:solidFill>
          </w14:textFill>
        </w:rPr>
      </w:pPr>
      <w:bookmarkStart w:id="8" w:name="_Toc249440509"/>
      <w:bookmarkStart w:id="9" w:name="_Toc219219807"/>
      <w:bookmarkStart w:id="10" w:name="_Toc404561981"/>
      <w:bookmarkStart w:id="11" w:name="_Toc404542812"/>
      <w:r>
        <w:rPr>
          <w:rFonts w:hint="eastAsia" w:ascii="宋体" w:hAnsi="宋体" w:eastAsia="宋体"/>
          <w:color w:val="000000" w:themeColor="text1"/>
          <w14:textFill>
            <w14:solidFill>
              <w14:schemeClr w14:val="tx1"/>
            </w14:solidFill>
          </w14:textFill>
        </w:rPr>
        <w:t>服务方式</w:t>
      </w:r>
      <w:bookmarkEnd w:id="8"/>
      <w:bookmarkEnd w:id="9"/>
      <w:r>
        <w:rPr>
          <w:rFonts w:hint="eastAsia" w:ascii="宋体" w:hAnsi="宋体" w:eastAsia="宋体"/>
          <w:color w:val="000000" w:themeColor="text1"/>
          <w14:textFill>
            <w14:solidFill>
              <w14:schemeClr w14:val="tx1"/>
            </w14:solidFill>
          </w14:textFill>
        </w:rPr>
        <w:t>与</w:t>
      </w:r>
      <w:r>
        <w:rPr>
          <w:rFonts w:hint="eastAsia" w:ascii="宋体" w:hAnsi="宋体" w:eastAsia="宋体"/>
          <w:color w:val="000000" w:themeColor="text1"/>
          <w:lang w:val="en-US" w:eastAsia="zh-CN"/>
          <w14:textFill>
            <w14:solidFill>
              <w14:schemeClr w14:val="tx1"/>
            </w14:solidFill>
          </w14:textFill>
        </w:rPr>
        <w:t>成果</w:t>
      </w:r>
      <w:bookmarkEnd w:id="10"/>
      <w:bookmarkEnd w:id="11"/>
      <w:r>
        <w:rPr>
          <w:rFonts w:hint="eastAsia" w:ascii="宋体" w:hAnsi="宋体" w:eastAsia="宋体"/>
          <w:color w:val="000000" w:themeColor="text1"/>
          <w:lang w:val="en-US" w:eastAsia="zh-CN"/>
          <w14:textFill>
            <w14:solidFill>
              <w14:schemeClr w14:val="tx1"/>
            </w14:solidFill>
          </w14:textFill>
        </w:rPr>
        <w:t>交付</w:t>
      </w:r>
    </w:p>
    <w:p>
      <w:pPr>
        <w:pStyle w:val="5"/>
        <w:rPr>
          <w:rFonts w:hint="eastAsia"/>
        </w:rPr>
      </w:pPr>
      <w:r>
        <w:rPr>
          <w:rFonts w:hint="eastAsia"/>
        </w:rPr>
        <w:t>服务方式</w:t>
      </w:r>
    </w:p>
    <w:p>
      <w:pPr>
        <w:spacing w:line="400" w:lineRule="exact"/>
        <w:ind w:firstLine="480" w:firstLineChars="200"/>
        <w:rPr>
          <w:rFonts w:ascii="宋体" w:hAnsi="宋体" w:eastAsia="宋体"/>
          <w:color w:val="000000" w:themeColor="text1"/>
          <w:sz w:val="24"/>
          <w14:textFill>
            <w14:solidFill>
              <w14:schemeClr w14:val="tx1"/>
            </w14:solidFill>
          </w14:textFill>
        </w:rPr>
      </w:pPr>
      <w:bookmarkStart w:id="12" w:name="_Toc75773187"/>
      <w:bookmarkStart w:id="13" w:name="_Toc43013696"/>
      <w:bookmarkStart w:id="14" w:name="_Toc75773891"/>
      <w:bookmarkStart w:id="15" w:name="_Toc75773442"/>
      <w:bookmarkStart w:id="16" w:name="_Toc75773998"/>
      <w:bookmarkStart w:id="17" w:name="_Toc75772676"/>
      <w:bookmarkStart w:id="18" w:name="_Toc43015001"/>
      <w:bookmarkStart w:id="19" w:name="_Toc75774098"/>
      <w:bookmarkStart w:id="20" w:name="_Toc75774048"/>
      <w:r>
        <w:rPr>
          <w:rFonts w:hint="eastAsia" w:ascii="宋体" w:hAnsi="宋体" w:eastAsia="宋体"/>
          <w:color w:val="000000" w:themeColor="text1"/>
          <w:sz w:val="24"/>
          <w14:textFill>
            <w14:solidFill>
              <w14:schemeClr w14:val="tx1"/>
            </w14:solidFill>
          </w14:textFill>
        </w:rPr>
        <w:t>1）电话询访</w:t>
      </w:r>
      <w:bookmarkEnd w:id="12"/>
      <w:bookmarkEnd w:id="13"/>
      <w:bookmarkEnd w:id="14"/>
      <w:bookmarkEnd w:id="15"/>
      <w:bookmarkEnd w:id="16"/>
      <w:bookmarkEnd w:id="17"/>
      <w:bookmarkEnd w:id="18"/>
      <w:bookmarkEnd w:id="19"/>
      <w:bookmarkEnd w:id="20"/>
      <w:r>
        <w:rPr>
          <w:rFonts w:hint="eastAsia" w:ascii="宋体" w:hAnsi="宋体" w:eastAsia="宋体"/>
          <w:color w:val="000000" w:themeColor="text1"/>
          <w:sz w:val="24"/>
          <w14:textFill>
            <w14:solidFill>
              <w14:schemeClr w14:val="tx1"/>
            </w14:solidFill>
          </w14:textFill>
        </w:rPr>
        <w:t>：运维公司工程师回答客户日常来电；</w:t>
      </w:r>
      <w:r>
        <w:rPr>
          <w:rFonts w:hint="eastAsia" w:ascii="宋体" w:hAnsi="宋体" w:eastAsia="宋体"/>
          <w:color w:val="000000" w:themeColor="text1"/>
          <w:sz w:val="24"/>
          <w:lang w:eastAsia="zh-CN"/>
          <w14:textFill>
            <w14:solidFill>
              <w14:schemeClr w14:val="tx1"/>
            </w14:solidFill>
          </w14:textFill>
        </w:rPr>
        <w:t>定期</w:t>
      </w:r>
      <w:r>
        <w:rPr>
          <w:rFonts w:hint="eastAsia" w:ascii="宋体" w:hAnsi="宋体" w:eastAsia="宋体"/>
          <w:color w:val="000000" w:themeColor="text1"/>
          <w:sz w:val="24"/>
          <w14:textFill>
            <w14:solidFill>
              <w14:schemeClr w14:val="tx1"/>
            </w14:solidFill>
          </w14:textFill>
        </w:rPr>
        <w:t>电话询访客户，向客户数据库、硬件、系统及操作等方面的技术人员了解系统的运行状况，回答日常运行过程中的有关问题，以及安排下一步的服务。</w:t>
      </w:r>
    </w:p>
    <w:p>
      <w:pPr>
        <w:spacing w:line="400" w:lineRule="exact"/>
        <w:ind w:firstLine="480" w:firstLineChars="200"/>
        <w:rPr>
          <w:rFonts w:ascii="宋体" w:hAnsi="宋体" w:eastAsia="宋体"/>
          <w:color w:val="000000" w:themeColor="text1"/>
          <w:sz w:val="24"/>
          <w14:textFill>
            <w14:solidFill>
              <w14:schemeClr w14:val="tx1"/>
            </w14:solidFill>
          </w14:textFill>
        </w:rPr>
      </w:pPr>
      <w:bookmarkStart w:id="21" w:name="_Toc43015002"/>
      <w:bookmarkStart w:id="22" w:name="_Toc75772677"/>
      <w:bookmarkStart w:id="23" w:name="_Toc75774049"/>
      <w:bookmarkStart w:id="24" w:name="_Toc75773892"/>
      <w:bookmarkStart w:id="25" w:name="_Toc43013697"/>
      <w:bookmarkStart w:id="26" w:name="_Toc75773443"/>
      <w:bookmarkStart w:id="27" w:name="_Toc75773188"/>
      <w:bookmarkStart w:id="28" w:name="_Toc75774099"/>
      <w:bookmarkStart w:id="29" w:name="_Toc75773999"/>
      <w:r>
        <w:rPr>
          <w:rFonts w:hint="eastAsia" w:ascii="宋体" w:hAnsi="宋体" w:eastAsia="宋体"/>
          <w:color w:val="000000" w:themeColor="text1"/>
          <w:sz w:val="24"/>
          <w14:textFill>
            <w14:solidFill>
              <w14:schemeClr w14:val="tx1"/>
            </w14:solidFill>
          </w14:textFill>
        </w:rPr>
        <w:t>2）健康检查和预防性维护</w:t>
      </w:r>
      <w:bookmarkEnd w:id="21"/>
      <w:bookmarkEnd w:id="22"/>
      <w:bookmarkEnd w:id="23"/>
      <w:bookmarkEnd w:id="24"/>
      <w:bookmarkEnd w:id="25"/>
      <w:bookmarkEnd w:id="26"/>
      <w:bookmarkEnd w:id="27"/>
      <w:bookmarkEnd w:id="28"/>
      <w:bookmarkEnd w:id="29"/>
      <w:r>
        <w:rPr>
          <w:rFonts w:hint="eastAsia" w:ascii="宋体" w:hAnsi="宋体" w:eastAsia="宋体"/>
          <w:color w:val="000000" w:themeColor="text1"/>
          <w:sz w:val="24"/>
          <w14:textFill>
            <w14:solidFill>
              <w14:schemeClr w14:val="tx1"/>
            </w14:solidFill>
          </w14:textFill>
        </w:rPr>
        <w:t>：每月</w:t>
      </w:r>
      <w:r>
        <w:rPr>
          <w:rFonts w:hint="eastAsia" w:ascii="宋体" w:hAnsi="宋体" w:eastAsia="宋体"/>
          <w:color w:val="000000" w:themeColor="text1"/>
          <w:sz w:val="24"/>
          <w:lang w:eastAsia="zh-CN"/>
          <w14:textFill>
            <w14:solidFill>
              <w14:schemeClr w14:val="tx1"/>
            </w14:solidFill>
          </w14:textFill>
        </w:rPr>
        <w:t>至少</w:t>
      </w:r>
      <w:r>
        <w:rPr>
          <w:rFonts w:hint="eastAsia" w:ascii="宋体" w:hAnsi="宋体" w:eastAsia="宋体"/>
          <w:color w:val="000000" w:themeColor="text1"/>
          <w:sz w:val="24"/>
          <w14:textFill>
            <w14:solidFill>
              <w14:schemeClr w14:val="tx1"/>
            </w14:solidFill>
          </w14:textFill>
        </w:rPr>
        <w:t>一次现场健康检查服务，并按计划按维护流程规定的步骤，进行数据库的例行检查和预防性维护。健康检查和预防性维护完成后，根据服务内容，提交《技术支持服务报告》。</w:t>
      </w:r>
    </w:p>
    <w:p>
      <w:pPr>
        <w:spacing w:line="400" w:lineRule="exact"/>
        <w:ind w:firstLine="480"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w:t>
      </w:r>
      <w:r>
        <w:rPr>
          <w:rFonts w:hint="eastAsia" w:ascii="宋体" w:hAnsi="宋体" w:eastAsia="宋体"/>
          <w:color w:val="000000" w:themeColor="text1"/>
          <w:sz w:val="24"/>
          <w:lang w:eastAsia="zh-CN"/>
          <w14:textFill>
            <w14:solidFill>
              <w14:schemeClr w14:val="tx1"/>
            </w14:solidFill>
          </w14:textFill>
        </w:rPr>
        <w:t>定期</w:t>
      </w:r>
      <w:r>
        <w:rPr>
          <w:rFonts w:hint="eastAsia" w:ascii="宋体" w:hAnsi="宋体" w:eastAsia="宋体"/>
          <w:color w:val="000000" w:themeColor="text1"/>
          <w:sz w:val="24"/>
          <w14:textFill>
            <w14:solidFill>
              <w14:schemeClr w14:val="tx1"/>
            </w14:solidFill>
          </w14:textFill>
        </w:rPr>
        <w:t>与客户组织</w:t>
      </w:r>
      <w:r>
        <w:rPr>
          <w:rFonts w:hint="eastAsia" w:ascii="宋体" w:hAnsi="宋体" w:eastAsia="宋体"/>
          <w:color w:val="000000" w:themeColor="text1"/>
          <w:sz w:val="24"/>
          <w:lang w:eastAsia="zh-CN"/>
          <w14:textFill>
            <w14:solidFill>
              <w14:schemeClr w14:val="tx1"/>
            </w14:solidFill>
          </w14:textFill>
        </w:rPr>
        <w:t>数据库</w:t>
      </w:r>
      <w:r>
        <w:rPr>
          <w:rFonts w:hint="eastAsia" w:ascii="宋体" w:hAnsi="宋体" w:eastAsia="宋体"/>
          <w:color w:val="000000" w:themeColor="text1"/>
          <w:sz w:val="24"/>
          <w14:textFill>
            <w14:solidFill>
              <w14:schemeClr w14:val="tx1"/>
            </w14:solidFill>
          </w14:textFill>
        </w:rPr>
        <w:t>技术交流会，并根据用户要求提供相关技术咨询服务；年度服务结束，提供年度服务总结报告，报告内容应包含本年度内服务内容、工作总结、后续工作建议等。</w:t>
      </w:r>
    </w:p>
    <w:p>
      <w:pPr>
        <w:pStyle w:val="5"/>
        <w:rPr>
          <w:rFonts w:hint="default"/>
          <w:lang w:val="en-US" w:eastAsia="zh-CN"/>
        </w:rPr>
      </w:pPr>
      <w:r>
        <w:rPr>
          <w:rFonts w:hint="eastAsia"/>
          <w:lang w:val="en-US" w:eastAsia="zh-CN"/>
        </w:rPr>
        <w:t>成果交付</w:t>
      </w:r>
    </w:p>
    <w:p>
      <w:pPr>
        <w:pStyle w:val="6"/>
        <w:rPr>
          <w:rFonts w:hint="eastAsia" w:asciiTheme="majorEastAsia" w:hAnsiTheme="majorEastAsia" w:eastAsiaTheme="majorEastAsia" w:cstheme="minorBidi"/>
          <w:kern w:val="2"/>
          <w:sz w:val="24"/>
          <w:szCs w:val="22"/>
          <w:lang w:val="en-US" w:eastAsia="zh-CN" w:bidi="ar-SA"/>
        </w:rPr>
      </w:pPr>
      <w:r>
        <w:rPr>
          <w:rFonts w:hint="eastAsia" w:asciiTheme="majorEastAsia" w:hAnsiTheme="majorEastAsia" w:eastAsiaTheme="majorEastAsia" w:cstheme="minorBidi"/>
          <w:kern w:val="2"/>
          <w:sz w:val="24"/>
          <w:szCs w:val="22"/>
          <w:lang w:val="en-US" w:eastAsia="zh-CN" w:bidi="ar-SA"/>
        </w:rPr>
        <w:t>年度运维工作完成之后，至少需要交付如下成果报告：</w:t>
      </w:r>
    </w:p>
    <w:p>
      <w:pPr>
        <w:pStyle w:val="59"/>
        <w:numPr>
          <w:ilvl w:val="0"/>
          <w:numId w:val="10"/>
        </w:numPr>
        <w:spacing w:line="360" w:lineRule="auto"/>
        <w:ind w:firstLineChars="0"/>
        <w:rPr>
          <w:rFonts w:hint="eastAsia"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提供《数据库运维服务项目启动报告》。</w:t>
      </w:r>
    </w:p>
    <w:p>
      <w:pPr>
        <w:pStyle w:val="59"/>
        <w:numPr>
          <w:ilvl w:val="0"/>
          <w:numId w:val="10"/>
        </w:numPr>
        <w:spacing w:line="360" w:lineRule="auto"/>
        <w:ind w:firstLineChars="0"/>
        <w:rPr>
          <w:rFonts w:hint="eastAsia"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年度服务结束，提供《年度总体运维总结报告》，报告应该包含但不限于：年度运维工作事项、服务状况、数据库总体监控状况、大事件分析报告、调优工作记录、月度巡检记录、技术咨询及技术支持服务记录、下年度服务建议等；</w:t>
      </w:r>
    </w:p>
    <w:p>
      <w:pPr>
        <w:pStyle w:val="59"/>
        <w:numPr>
          <w:ilvl w:val="0"/>
          <w:numId w:val="10"/>
        </w:numPr>
        <w:spacing w:line="360" w:lineRule="auto"/>
        <w:ind w:firstLineChars="0"/>
        <w:rPr>
          <w:rFonts w:hint="default"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数据库资产清单统计状况表：本表至少涵盖如下信息：</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服务器</w:t>
      </w:r>
      <w:r>
        <w:rPr>
          <w:rFonts w:hint="default" w:asciiTheme="majorEastAsia" w:hAnsiTheme="majorEastAsia" w:eastAsiaTheme="majorEastAsia"/>
          <w:sz w:val="24"/>
          <w:lang w:val="en-US" w:eastAsia="zh-CN"/>
        </w:rPr>
        <w:t>IP</w:t>
      </w:r>
      <w:r>
        <w:rPr>
          <w:rFonts w:hint="eastAsia" w:asciiTheme="majorEastAsia" w:hAnsiTheme="majorEastAsia" w:eastAsiaTheme="majorEastAsia"/>
          <w:sz w:val="24"/>
          <w:lang w:val="en-US" w:eastAsia="zh-CN"/>
        </w:rPr>
        <w:t>、</w:t>
      </w:r>
      <w:r>
        <w:rPr>
          <w:rFonts w:hint="default" w:asciiTheme="majorEastAsia" w:hAnsiTheme="majorEastAsia" w:eastAsiaTheme="majorEastAsia"/>
          <w:sz w:val="24"/>
          <w:lang w:val="en-US" w:eastAsia="zh-CN"/>
        </w:rPr>
        <w:t>系统名称（用途）</w:t>
      </w:r>
      <w:r>
        <w:rPr>
          <w:rFonts w:hint="eastAsia" w:asciiTheme="majorEastAsia" w:hAnsiTheme="majorEastAsia" w:eastAsiaTheme="majorEastAsia"/>
          <w:sz w:val="24"/>
          <w:lang w:val="en-US" w:eastAsia="zh-CN"/>
        </w:rPr>
        <w:t>、</w:t>
      </w:r>
      <w:r>
        <w:rPr>
          <w:rFonts w:hint="default" w:asciiTheme="majorEastAsia" w:hAnsiTheme="majorEastAsia" w:eastAsiaTheme="majorEastAsia"/>
          <w:sz w:val="24"/>
          <w:lang w:val="en-US" w:eastAsia="zh-CN"/>
        </w:rPr>
        <w:t>远程端口</w:t>
      </w:r>
      <w:r>
        <w:rPr>
          <w:rFonts w:hint="eastAsia" w:asciiTheme="majorEastAsia" w:hAnsiTheme="majorEastAsia" w:eastAsiaTheme="majorEastAsia"/>
          <w:sz w:val="24"/>
          <w:lang w:val="en-US" w:eastAsia="zh-CN"/>
        </w:rPr>
        <w:t>、</w:t>
      </w:r>
      <w:r>
        <w:rPr>
          <w:rFonts w:hint="default" w:asciiTheme="majorEastAsia" w:hAnsiTheme="majorEastAsia" w:eastAsiaTheme="majorEastAsia"/>
          <w:sz w:val="24"/>
          <w:lang w:val="en-US" w:eastAsia="zh-CN"/>
        </w:rPr>
        <w:t>操作系统用户</w:t>
      </w:r>
      <w:r>
        <w:rPr>
          <w:rFonts w:hint="eastAsia" w:asciiTheme="majorEastAsia" w:hAnsiTheme="majorEastAsia" w:eastAsiaTheme="majorEastAsia"/>
          <w:sz w:val="24"/>
          <w:lang w:val="en-US" w:eastAsia="zh-CN"/>
        </w:rPr>
        <w:t>、</w:t>
      </w:r>
      <w:r>
        <w:rPr>
          <w:rFonts w:hint="default" w:asciiTheme="majorEastAsia" w:hAnsiTheme="majorEastAsia" w:eastAsiaTheme="majorEastAsia"/>
          <w:sz w:val="24"/>
          <w:lang w:val="en-US" w:eastAsia="zh-CN"/>
        </w:rPr>
        <w:t>操作系统用户密码</w:t>
      </w:r>
      <w:r>
        <w:rPr>
          <w:rFonts w:hint="eastAsia" w:asciiTheme="majorEastAsia" w:hAnsiTheme="majorEastAsia" w:eastAsiaTheme="majorEastAsia"/>
          <w:sz w:val="24"/>
          <w:lang w:val="en-US" w:eastAsia="zh-CN"/>
        </w:rPr>
        <w:t>、</w:t>
      </w:r>
      <w:r>
        <w:rPr>
          <w:rFonts w:hint="default" w:asciiTheme="majorEastAsia" w:hAnsiTheme="majorEastAsia" w:eastAsiaTheme="majorEastAsia"/>
          <w:sz w:val="24"/>
          <w:lang w:val="en-US" w:eastAsia="zh-CN"/>
        </w:rPr>
        <w:t>数据库用户</w:t>
      </w:r>
      <w:r>
        <w:rPr>
          <w:rFonts w:hint="eastAsia" w:asciiTheme="majorEastAsia" w:hAnsiTheme="majorEastAsia" w:eastAsiaTheme="majorEastAsia"/>
          <w:sz w:val="24"/>
          <w:lang w:val="en-US" w:eastAsia="zh-CN"/>
        </w:rPr>
        <w:t>、</w:t>
      </w:r>
      <w:r>
        <w:rPr>
          <w:rFonts w:hint="default" w:asciiTheme="majorEastAsia" w:hAnsiTheme="majorEastAsia" w:eastAsiaTheme="majorEastAsia"/>
          <w:sz w:val="24"/>
          <w:lang w:val="en-US" w:eastAsia="zh-CN"/>
        </w:rPr>
        <w:t>数据库用户密码</w:t>
      </w:r>
      <w:r>
        <w:rPr>
          <w:rFonts w:hint="eastAsia" w:asciiTheme="majorEastAsia" w:hAnsiTheme="majorEastAsia" w:eastAsiaTheme="majorEastAsia"/>
          <w:sz w:val="24"/>
          <w:lang w:val="en-US" w:eastAsia="zh-CN"/>
        </w:rPr>
        <w:t>、</w:t>
      </w:r>
      <w:r>
        <w:rPr>
          <w:rFonts w:hint="default" w:asciiTheme="majorEastAsia" w:hAnsiTheme="majorEastAsia" w:eastAsiaTheme="majorEastAsia"/>
          <w:sz w:val="24"/>
          <w:lang w:val="en-US" w:eastAsia="zh-CN"/>
        </w:rPr>
        <w:t>操作系统</w:t>
      </w:r>
      <w:r>
        <w:rPr>
          <w:rFonts w:hint="eastAsia" w:asciiTheme="majorEastAsia" w:hAnsiTheme="majorEastAsia" w:eastAsiaTheme="majorEastAsia"/>
          <w:sz w:val="24"/>
          <w:lang w:val="en-US" w:eastAsia="zh-CN"/>
        </w:rPr>
        <w:t>信息、</w:t>
      </w:r>
      <w:r>
        <w:rPr>
          <w:rFonts w:hint="default" w:asciiTheme="majorEastAsia" w:hAnsiTheme="majorEastAsia" w:eastAsiaTheme="majorEastAsia"/>
          <w:sz w:val="24"/>
          <w:lang w:val="en-US" w:eastAsia="zh-CN"/>
        </w:rPr>
        <w:t>数据库类型</w:t>
      </w:r>
      <w:r>
        <w:rPr>
          <w:rFonts w:hint="eastAsia" w:asciiTheme="majorEastAsia" w:hAnsiTheme="majorEastAsia" w:eastAsiaTheme="majorEastAsia"/>
          <w:sz w:val="24"/>
          <w:lang w:val="en-US" w:eastAsia="zh-CN"/>
        </w:rPr>
        <w:t>、</w:t>
      </w:r>
      <w:r>
        <w:rPr>
          <w:rFonts w:hint="default" w:asciiTheme="majorEastAsia" w:hAnsiTheme="majorEastAsia" w:eastAsiaTheme="majorEastAsia"/>
          <w:sz w:val="24"/>
          <w:lang w:val="en-US" w:eastAsia="zh-CN"/>
        </w:rPr>
        <w:t>数据库版本</w:t>
      </w:r>
      <w:r>
        <w:rPr>
          <w:rFonts w:hint="eastAsia" w:asciiTheme="majorEastAsia" w:hAnsiTheme="majorEastAsia" w:eastAsiaTheme="majorEastAsia"/>
          <w:sz w:val="24"/>
          <w:lang w:val="en-US" w:eastAsia="zh-CN"/>
        </w:rPr>
        <w:t>、</w:t>
      </w:r>
      <w:r>
        <w:rPr>
          <w:rFonts w:hint="default" w:asciiTheme="majorEastAsia" w:hAnsiTheme="majorEastAsia" w:eastAsiaTheme="majorEastAsia"/>
          <w:sz w:val="24"/>
          <w:lang w:val="en-US" w:eastAsia="zh-CN"/>
        </w:rPr>
        <w:t>数据库实例</w:t>
      </w:r>
      <w:r>
        <w:rPr>
          <w:rFonts w:hint="eastAsia" w:asciiTheme="majorEastAsia" w:hAnsiTheme="majorEastAsia" w:eastAsiaTheme="majorEastAsia"/>
          <w:sz w:val="24"/>
          <w:lang w:val="en-US" w:eastAsia="zh-CN"/>
        </w:rPr>
        <w:t>、</w:t>
      </w:r>
      <w:r>
        <w:rPr>
          <w:rFonts w:hint="default" w:asciiTheme="majorEastAsia" w:hAnsiTheme="majorEastAsia" w:eastAsiaTheme="majorEastAsia"/>
          <w:sz w:val="24"/>
          <w:lang w:val="en-US" w:eastAsia="zh-CN"/>
        </w:rPr>
        <w:t>服务端口</w:t>
      </w:r>
      <w:r>
        <w:rPr>
          <w:rFonts w:hint="eastAsia" w:asciiTheme="majorEastAsia" w:hAnsiTheme="majorEastAsia" w:eastAsiaTheme="majorEastAsia"/>
          <w:sz w:val="24"/>
          <w:lang w:val="en-US" w:eastAsia="zh-CN"/>
        </w:rPr>
        <w:t>、</w:t>
      </w:r>
      <w:r>
        <w:rPr>
          <w:rFonts w:hint="default" w:asciiTheme="majorEastAsia" w:hAnsiTheme="majorEastAsia" w:eastAsiaTheme="majorEastAsia"/>
          <w:sz w:val="24"/>
          <w:lang w:val="en-US" w:eastAsia="zh-CN"/>
        </w:rPr>
        <w:t>OS磁盘大小（可用</w:t>
      </w:r>
      <w:r>
        <w:rPr>
          <w:rFonts w:hint="eastAsia" w:asciiTheme="majorEastAsia" w:hAnsiTheme="majorEastAsia" w:eastAsiaTheme="majorEastAsia"/>
          <w:sz w:val="24"/>
          <w:lang w:val="en-US" w:eastAsia="zh-CN"/>
        </w:rPr>
        <w:t>/</w:t>
      </w:r>
      <w:r>
        <w:rPr>
          <w:rFonts w:hint="default" w:asciiTheme="majorEastAsia" w:hAnsiTheme="majorEastAsia" w:eastAsiaTheme="majorEastAsia"/>
          <w:sz w:val="24"/>
          <w:lang w:val="en-US" w:eastAsia="zh-CN"/>
        </w:rPr>
        <w:t>总共）</w:t>
      </w:r>
      <w:r>
        <w:rPr>
          <w:rFonts w:hint="eastAsia" w:asciiTheme="majorEastAsia" w:hAnsiTheme="majorEastAsia" w:eastAsiaTheme="majorEastAsia"/>
          <w:sz w:val="24"/>
          <w:lang w:val="en-US" w:eastAsia="zh-CN"/>
        </w:rPr>
        <w:t>、</w:t>
      </w:r>
      <w:r>
        <w:rPr>
          <w:rFonts w:hint="default" w:asciiTheme="majorEastAsia" w:hAnsiTheme="majorEastAsia" w:eastAsiaTheme="majorEastAsia"/>
          <w:sz w:val="24"/>
          <w:lang w:val="en-US" w:eastAsia="zh-CN"/>
        </w:rPr>
        <w:t>数据库文件位置</w:t>
      </w:r>
      <w:r>
        <w:rPr>
          <w:rFonts w:hint="eastAsia" w:asciiTheme="majorEastAsia" w:hAnsiTheme="majorEastAsia" w:eastAsiaTheme="majorEastAsia"/>
          <w:sz w:val="24"/>
          <w:lang w:val="en-US" w:eastAsia="zh-CN"/>
        </w:rPr>
        <w:t>、</w:t>
      </w:r>
      <w:r>
        <w:rPr>
          <w:rFonts w:hint="default" w:asciiTheme="majorEastAsia" w:hAnsiTheme="majorEastAsia" w:eastAsiaTheme="majorEastAsia"/>
          <w:sz w:val="24"/>
          <w:lang w:val="en-US" w:eastAsia="zh-CN"/>
        </w:rPr>
        <w:t>数据库表空间使用率</w:t>
      </w:r>
      <w:r>
        <w:rPr>
          <w:rFonts w:hint="eastAsia" w:asciiTheme="majorEastAsia" w:hAnsiTheme="majorEastAsia" w:eastAsiaTheme="majorEastAsia"/>
          <w:sz w:val="24"/>
          <w:lang w:val="en-US" w:eastAsia="zh-CN"/>
        </w:rPr>
        <w:t>、</w:t>
      </w:r>
      <w:r>
        <w:rPr>
          <w:rFonts w:hint="default" w:asciiTheme="majorEastAsia" w:hAnsiTheme="majorEastAsia" w:eastAsiaTheme="majorEastAsia"/>
          <w:sz w:val="24"/>
          <w:lang w:val="en-US" w:eastAsia="zh-CN"/>
        </w:rPr>
        <w:t>归档</w:t>
      </w:r>
      <w:r>
        <w:rPr>
          <w:rFonts w:hint="eastAsia" w:asciiTheme="majorEastAsia" w:hAnsiTheme="majorEastAsia" w:eastAsiaTheme="majorEastAsia"/>
          <w:sz w:val="24"/>
          <w:lang w:val="en-US" w:eastAsia="zh-CN"/>
        </w:rPr>
        <w:t>信息、</w:t>
      </w:r>
      <w:r>
        <w:rPr>
          <w:rFonts w:hint="default" w:asciiTheme="majorEastAsia" w:hAnsiTheme="majorEastAsia" w:eastAsiaTheme="majorEastAsia"/>
          <w:sz w:val="24"/>
          <w:lang w:val="en-US" w:eastAsia="zh-CN"/>
        </w:rPr>
        <w:t>备份策略</w:t>
      </w:r>
      <w:r>
        <w:rPr>
          <w:rFonts w:hint="eastAsia" w:asciiTheme="majorEastAsia" w:hAnsiTheme="majorEastAsia" w:eastAsiaTheme="majorEastAsia"/>
          <w:sz w:val="24"/>
          <w:lang w:val="en-US" w:eastAsia="zh-CN"/>
        </w:rPr>
        <w:t>、</w:t>
      </w:r>
      <w:r>
        <w:rPr>
          <w:rFonts w:hint="default" w:asciiTheme="majorEastAsia" w:hAnsiTheme="majorEastAsia" w:eastAsiaTheme="majorEastAsia"/>
          <w:sz w:val="24"/>
          <w:lang w:val="en-US" w:eastAsia="zh-CN"/>
        </w:rPr>
        <w:t>备份脚本</w:t>
      </w:r>
      <w:r>
        <w:rPr>
          <w:rFonts w:hint="eastAsia" w:asciiTheme="majorEastAsia" w:hAnsiTheme="majorEastAsia" w:eastAsiaTheme="majorEastAsia"/>
          <w:sz w:val="24"/>
          <w:lang w:val="en-US" w:eastAsia="zh-CN"/>
        </w:rPr>
        <w:t>、</w:t>
      </w:r>
      <w:r>
        <w:rPr>
          <w:rFonts w:hint="default" w:asciiTheme="majorEastAsia" w:hAnsiTheme="majorEastAsia" w:eastAsiaTheme="majorEastAsia"/>
          <w:sz w:val="24"/>
          <w:lang w:val="en-US" w:eastAsia="zh-CN"/>
        </w:rPr>
        <w:t>备份文件大小</w:t>
      </w:r>
      <w:r>
        <w:rPr>
          <w:rFonts w:hint="eastAsia" w:asciiTheme="majorEastAsia" w:hAnsiTheme="majorEastAsia" w:eastAsiaTheme="majorEastAsia"/>
          <w:sz w:val="24"/>
          <w:lang w:val="en-US" w:eastAsia="zh-CN"/>
        </w:rPr>
        <w:t>。</w:t>
      </w:r>
    </w:p>
    <w:p>
      <w:pPr>
        <w:pStyle w:val="59"/>
        <w:numPr>
          <w:ilvl w:val="0"/>
          <w:numId w:val="10"/>
        </w:numPr>
        <w:spacing w:line="360" w:lineRule="auto"/>
        <w:ind w:firstLineChars="0"/>
        <w:rPr>
          <w:rFonts w:hint="default"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全年每次月度巡检工作服务记录：记录至少应该包含巡检清单、巡检脚本或者巡检命令、巡检结果详细记录等。</w:t>
      </w:r>
    </w:p>
    <w:p>
      <w:pPr>
        <w:pStyle w:val="59"/>
        <w:numPr>
          <w:ilvl w:val="0"/>
          <w:numId w:val="10"/>
        </w:numPr>
        <w:spacing w:line="360" w:lineRule="auto"/>
        <w:ind w:firstLineChars="0"/>
        <w:rPr>
          <w:rFonts w:hint="default"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客户要求提供的其他符合本项目需求的资料等成果。</w:t>
      </w:r>
    </w:p>
    <w:p>
      <w:pPr>
        <w:pStyle w:val="4"/>
        <w:rPr>
          <w:rFonts w:hint="eastAsia" w:ascii="宋体" w:hAnsi="宋体" w:eastAsia="宋体"/>
          <w:color w:val="000000" w:themeColor="text1"/>
          <w14:textFill>
            <w14:solidFill>
              <w14:schemeClr w14:val="tx1"/>
            </w14:solidFill>
          </w14:textFill>
        </w:rPr>
      </w:pPr>
      <w:bookmarkStart w:id="30" w:name="_Toc404561982"/>
      <w:bookmarkStart w:id="31" w:name="_Toc404542813"/>
      <w:bookmarkStart w:id="32" w:name="_Toc249440510"/>
      <w:bookmarkStart w:id="33" w:name="_Toc219219808"/>
      <w:r>
        <w:rPr>
          <w:rFonts w:hint="eastAsia" w:ascii="宋体" w:hAnsi="宋体" w:eastAsia="宋体"/>
          <w:color w:val="000000" w:themeColor="text1"/>
          <w14:textFill>
            <w14:solidFill>
              <w14:schemeClr w14:val="tx1"/>
            </w14:solidFill>
          </w14:textFill>
        </w:rPr>
        <w:t>服务内容</w:t>
      </w:r>
      <w:bookmarkEnd w:id="30"/>
      <w:bookmarkEnd w:id="31"/>
      <w:bookmarkEnd w:id="32"/>
      <w:bookmarkEnd w:id="33"/>
      <w:r>
        <w:rPr>
          <w:rFonts w:hint="eastAsia" w:ascii="宋体" w:hAnsi="宋体" w:eastAsia="宋体"/>
          <w:color w:val="000000" w:themeColor="text1"/>
          <w:lang w:val="en-US" w:eastAsia="zh-CN"/>
          <w14:textFill>
            <w14:solidFill>
              <w14:schemeClr w14:val="tx1"/>
            </w14:solidFill>
          </w14:textFill>
        </w:rPr>
        <w:t>与服务要求</w:t>
      </w:r>
    </w:p>
    <w:p>
      <w:pPr>
        <w:pStyle w:val="5"/>
        <w:bidi w:val="0"/>
        <w:rPr>
          <w:rFonts w:hint="default"/>
          <w:lang w:val="en-US"/>
        </w:rPr>
      </w:pPr>
      <w:r>
        <w:rPr>
          <w:rFonts w:hint="eastAsia"/>
          <w:lang w:val="en-US" w:eastAsia="zh-CN"/>
        </w:rPr>
        <w:t>总体服务内容</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w:t>
      </w:r>
      <w:r>
        <w:rPr>
          <w:rFonts w:hint="eastAsia" w:asciiTheme="minorEastAsia" w:hAnsiTheme="minorEastAsia" w:cstheme="minorEastAsia"/>
          <w:sz w:val="24"/>
          <w:szCs w:val="24"/>
          <w:lang w:val="en-US" w:eastAsia="zh-CN"/>
        </w:rPr>
        <w:t>项目部分服务内容与</w:t>
      </w:r>
      <w:r>
        <w:rPr>
          <w:rFonts w:hint="eastAsia" w:asciiTheme="minorEastAsia" w:hAnsiTheme="minorEastAsia" w:eastAsiaTheme="minorEastAsia" w:cstheme="minorEastAsia"/>
          <w:sz w:val="24"/>
          <w:szCs w:val="24"/>
          <w:lang w:val="en-US" w:eastAsia="zh-CN"/>
        </w:rPr>
        <w:t>要求主要参照如下文档规范执行：</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《GB_T 28827.2-2012 信息技术服务 运行维护 第2部分：交付规范》</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2、《SJ T 11564.4-2015 信息技术服务 运行维护 第4部分：数据中心规范》</w:t>
      </w:r>
    </w:p>
    <w:p>
      <w:pPr>
        <w:pStyle w:val="23"/>
        <w:keepNext w:val="0"/>
        <w:keepLines w:val="0"/>
        <w:pageBreakBefore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3、其他服务内容参见 《附件二：巡检内容概要》</w:t>
      </w:r>
    </w:p>
    <w:p>
      <w:pPr>
        <w:pStyle w:val="23"/>
        <w:rPr>
          <w:rFonts w:hint="eastAsia" w:asciiTheme="minorEastAsia" w:hAnsiTheme="minorEastAsia" w:eastAsiaTheme="minorEastAsia" w:cstheme="minorEastAsia"/>
          <w:sz w:val="24"/>
          <w:szCs w:val="24"/>
          <w:lang w:val="en-US" w:eastAsia="zh-CN"/>
        </w:rPr>
      </w:pPr>
    </w:p>
    <w:p>
      <w:pPr>
        <w:pStyle w:val="23"/>
        <w:numPr>
          <w:ilvl w:val="0"/>
          <w:numId w:val="0"/>
        </w:num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平台资源预防性检查至少涵盖如下内容：</w:t>
      </w:r>
    </w:p>
    <w:tbl>
      <w:tblPr>
        <w:tblStyle w:val="4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3702"/>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34" w:type="dxa"/>
            <w:vAlign w:val="center"/>
          </w:tcPr>
          <w:p>
            <w:pPr>
              <w:pStyle w:val="23"/>
              <w:numPr>
                <w:ilvl w:val="0"/>
                <w:numId w:val="0"/>
              </w:numPr>
              <w:jc w:val="center"/>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运维对象</w:t>
            </w:r>
          </w:p>
        </w:tc>
        <w:tc>
          <w:tcPr>
            <w:tcW w:w="3702" w:type="dxa"/>
            <w:vAlign w:val="center"/>
          </w:tcPr>
          <w:p>
            <w:pPr>
              <w:pStyle w:val="23"/>
              <w:numPr>
                <w:ilvl w:val="0"/>
                <w:numId w:val="0"/>
              </w:numPr>
              <w:jc w:val="center"/>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性能检查内容</w:t>
            </w:r>
          </w:p>
        </w:tc>
        <w:tc>
          <w:tcPr>
            <w:tcW w:w="4350" w:type="dxa"/>
            <w:vAlign w:val="center"/>
          </w:tcPr>
          <w:p>
            <w:pPr>
              <w:pStyle w:val="23"/>
              <w:numPr>
                <w:ilvl w:val="0"/>
                <w:numId w:val="0"/>
              </w:numPr>
              <w:jc w:val="center"/>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脆弱性检查内容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34" w:type="dxa"/>
            <w:vAlign w:val="center"/>
          </w:tcPr>
          <w:p>
            <w:pPr>
              <w:pStyle w:val="23"/>
              <w:numPr>
                <w:ilvl w:val="0"/>
                <w:numId w:val="0"/>
              </w:num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操作系统</w:t>
            </w:r>
          </w:p>
        </w:tc>
        <w:tc>
          <w:tcPr>
            <w:tcW w:w="3702" w:type="dxa"/>
            <w:vAlign w:val="center"/>
          </w:tcPr>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操作系统CPU使用峰值情况</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操作系统内存使用峰值情况</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操作系统磁盘使用情况</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文件系统空间使用情况</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操作系统I/O读写情况</w:t>
            </w:r>
          </w:p>
          <w:p>
            <w:pPr>
              <w:pStyle w:val="23"/>
              <w:numPr>
                <w:ilvl w:val="0"/>
                <w:numId w:val="11"/>
              </w:numPr>
              <w:ind w:left="420" w:leftChars="0" w:hanging="420" w:firstLineChars="0"/>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网络负载情况</w:t>
            </w:r>
          </w:p>
        </w:tc>
        <w:tc>
          <w:tcPr>
            <w:tcW w:w="4350" w:type="dxa"/>
            <w:vAlign w:val="center"/>
          </w:tcPr>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操作系统是否安装相关风险补丁</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是否需要升级系统微码版本</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是否需要关闭不必要的服务进程</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重要业务数据文件或操作系统文件是否达到预定阀值</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关键机密数据安全防护是否达标</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系统使用资源是否超过预定阀值</w:t>
            </w:r>
          </w:p>
          <w:p>
            <w:pPr>
              <w:pStyle w:val="23"/>
              <w:numPr>
                <w:ilvl w:val="0"/>
                <w:numId w:val="11"/>
              </w:numPr>
              <w:ind w:left="420" w:leftChars="0" w:hanging="420" w:firstLineChars="0"/>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操作系统版本一致性检查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34" w:type="dxa"/>
            <w:vAlign w:val="center"/>
          </w:tcPr>
          <w:p>
            <w:pPr>
              <w:pStyle w:val="23"/>
              <w:numPr>
                <w:ilvl w:val="0"/>
                <w:numId w:val="0"/>
              </w:num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数据库</w:t>
            </w:r>
          </w:p>
        </w:tc>
        <w:tc>
          <w:tcPr>
            <w:tcW w:w="3702" w:type="dxa"/>
            <w:vAlign w:val="center"/>
          </w:tcPr>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数据库的TOP SQL情况</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数据库CPU使用情况</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数据库内存使用情况</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数据库表空间使用情况</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数据库锁情况</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数据库会话数和操作系统进程数情况</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数据库缓冲区命中率情况</w:t>
            </w:r>
          </w:p>
          <w:p>
            <w:pPr>
              <w:pStyle w:val="23"/>
              <w:numPr>
                <w:ilvl w:val="0"/>
                <w:numId w:val="11"/>
              </w:numPr>
              <w:ind w:left="420" w:leftChars="0" w:hanging="420" w:firstLineChars="0"/>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数据库等待事件情况</w:t>
            </w:r>
          </w:p>
        </w:tc>
        <w:tc>
          <w:tcPr>
            <w:tcW w:w="4350" w:type="dxa"/>
            <w:vAlign w:val="center"/>
          </w:tcPr>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数据库是否安装相关风险补丁</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表空间是否达到了预定阀值</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数据库关键文件是否做了镜像</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数据库备份策略是否合理</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数据库是否有异常用户</w:t>
            </w:r>
          </w:p>
          <w:p>
            <w:pPr>
              <w:pStyle w:val="23"/>
              <w:numPr>
                <w:ilvl w:val="0"/>
                <w:numId w:val="11"/>
              </w:numPr>
              <w:ind w:left="420" w:leftChars="0" w:hanging="420" w:firstLineChars="0"/>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数据库版本一致性检查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34" w:type="dxa"/>
            <w:vAlign w:val="center"/>
          </w:tcPr>
          <w:p>
            <w:pPr>
              <w:pStyle w:val="23"/>
              <w:numPr>
                <w:ilvl w:val="0"/>
                <w:numId w:val="0"/>
              </w:num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中间件</w:t>
            </w:r>
          </w:p>
        </w:tc>
        <w:tc>
          <w:tcPr>
            <w:tcW w:w="3702" w:type="dxa"/>
            <w:vAlign w:val="center"/>
          </w:tcPr>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中间件业务CPU峰值</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内存峰值情况</w:t>
            </w:r>
          </w:p>
          <w:p>
            <w:pPr>
              <w:pStyle w:val="23"/>
              <w:numPr>
                <w:ilvl w:val="0"/>
                <w:numId w:val="11"/>
              </w:numPr>
              <w:ind w:left="420" w:leftChars="0" w:hanging="420" w:firstLineChars="0"/>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会话连接数情况统计</w:t>
            </w:r>
          </w:p>
        </w:tc>
        <w:tc>
          <w:tcPr>
            <w:tcW w:w="4350" w:type="dxa"/>
            <w:vAlign w:val="center"/>
          </w:tcPr>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中间件是否满足冗余度要求</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中间件知否有风险补丁</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中间件的数据库连接密码配置文件是否安全</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重要程序是否有备份</w:t>
            </w:r>
          </w:p>
          <w:p>
            <w:pPr>
              <w:pStyle w:val="23"/>
              <w:numPr>
                <w:ilvl w:val="0"/>
                <w:numId w:val="11"/>
              </w:numPr>
              <w:ind w:left="420" w:leftChars="0" w:hanging="420" w:firstLineChars="0"/>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系统使用资源是否达到预定阀值</w:t>
            </w:r>
          </w:p>
          <w:p>
            <w:pPr>
              <w:pStyle w:val="23"/>
              <w:numPr>
                <w:ilvl w:val="0"/>
                <w:numId w:val="11"/>
              </w:numPr>
              <w:ind w:left="420" w:leftChars="0" w:hanging="420" w:firstLineChars="0"/>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版本一致性检查</w:t>
            </w:r>
          </w:p>
        </w:tc>
      </w:tr>
    </w:tbl>
    <w:p>
      <w:pPr>
        <w:pStyle w:val="6"/>
        <w:rPr>
          <w:rFonts w:hint="eastAsia"/>
          <w:sz w:val="24"/>
          <w:szCs w:val="24"/>
          <w:lang w:val="en-US" w:eastAsia="zh-CN"/>
        </w:rPr>
      </w:pPr>
    </w:p>
    <w:p>
      <w:pPr>
        <w:pStyle w:val="23"/>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常规例行性维护：</w:t>
      </w:r>
    </w:p>
    <w:p>
      <w:pPr>
        <w:pStyle w:val="23"/>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操作系统</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磁盘读写正常性测试</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输入输出性能检查</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系统配置文件备份</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系统备份的检查与建议</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系统过期日志的清理</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网络通信的检查</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临时文件的检查与清理</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端口访问测试</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周期性主备切换技术支持与咨询</w:t>
      </w:r>
    </w:p>
    <w:p>
      <w:pPr>
        <w:pStyle w:val="23"/>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数据库</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侦听连接正常性测试</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正常登陆测试</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SQL执行正常性测试与故障排查</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表空间访问测试</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表读写正常性测试</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客户端连接测试</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数据库备份情况的检查</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过期的归档日志检查与清理</w:t>
      </w:r>
    </w:p>
    <w:p>
      <w:pPr>
        <w:pStyle w:val="23"/>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中间件</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配置文件备份情况检查</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重要日志的备份情况检查</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过期日志的清理</w:t>
      </w:r>
    </w:p>
    <w:p>
      <w:pPr>
        <w:pStyle w:val="23"/>
        <w:keepNext w:val="0"/>
        <w:keepLines w:val="0"/>
        <w:pageBreakBefore w:val="0"/>
        <w:widowControl/>
        <w:numPr>
          <w:ilvl w:val="0"/>
          <w:numId w:val="1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连接正常性测试</w:t>
      </w:r>
    </w:p>
    <w:p>
      <w:pPr>
        <w:pStyle w:val="5"/>
        <w:bidi w:val="0"/>
        <w:rPr>
          <w:rFonts w:hint="default"/>
          <w:lang w:val="en-US" w:eastAsia="zh-CN"/>
        </w:rPr>
      </w:pPr>
      <w:r>
        <w:rPr>
          <w:rFonts w:hint="eastAsia"/>
          <w:lang w:val="en-US" w:eastAsia="zh-CN"/>
        </w:rPr>
        <w:t>数据库管理技术培训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2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数据库管理技术培训</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提供相应的所有技术培训，提高</w:t>
      </w:r>
      <w:r>
        <w:rPr>
          <w:rFonts w:hint="eastAsia" w:ascii="宋体" w:hAnsi="宋体" w:eastAsia="宋体" w:cs="宋体"/>
          <w:color w:val="auto"/>
          <w:kern w:val="0"/>
          <w:sz w:val="21"/>
          <w:szCs w:val="21"/>
          <w:lang w:val="en-US" w:eastAsia="zh-CN"/>
        </w:rPr>
        <w:t>汉川市人民医院</w:t>
      </w:r>
      <w:r>
        <w:rPr>
          <w:rFonts w:hint="eastAsia" w:ascii="宋体" w:hAnsi="宋体" w:eastAsia="宋体" w:cs="宋体"/>
          <w:color w:val="auto"/>
          <w:kern w:val="0"/>
          <w:sz w:val="21"/>
          <w:szCs w:val="21"/>
        </w:rPr>
        <w:t>内部自主管理的水平和能力，形成良好的技术氛围。</w:t>
      </w:r>
    </w:p>
    <w:tbl>
      <w:tblPr>
        <w:tblStyle w:val="42"/>
        <w:tblW w:w="8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985"/>
        <w:gridCol w:w="4363"/>
        <w:gridCol w:w="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shd w:val="clear" w:color="auto" w:fill="D9D9D9"/>
            <w:noWrap w:val="0"/>
            <w:vAlign w:val="center"/>
          </w:tcPr>
          <w:p>
            <w:pPr>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rPr>
              <w:br w:type="page"/>
            </w:r>
            <w:r>
              <w:rPr>
                <w:rFonts w:hint="eastAsia" w:ascii="宋体" w:hAnsi="宋体" w:eastAsia="宋体" w:cs="宋体"/>
                <w:b/>
                <w:bCs/>
                <w:color w:val="auto"/>
                <w:kern w:val="0"/>
                <w:sz w:val="21"/>
                <w:szCs w:val="21"/>
              </w:rPr>
              <w:t>序号</w:t>
            </w:r>
          </w:p>
        </w:tc>
        <w:tc>
          <w:tcPr>
            <w:tcW w:w="1985" w:type="dxa"/>
            <w:shd w:val="clear" w:color="auto" w:fill="D9D9D9"/>
            <w:noWrap w:val="0"/>
            <w:vAlign w:val="center"/>
          </w:tcPr>
          <w:p>
            <w:pPr>
              <w:snapToGrid w:val="0"/>
              <w:spacing w:line="36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培训课程</w:t>
            </w:r>
          </w:p>
        </w:tc>
        <w:tc>
          <w:tcPr>
            <w:tcW w:w="4363" w:type="dxa"/>
            <w:shd w:val="clear" w:color="auto" w:fill="D9D9D9"/>
            <w:noWrap w:val="0"/>
            <w:vAlign w:val="center"/>
          </w:tcPr>
          <w:p>
            <w:pPr>
              <w:snapToGrid w:val="0"/>
              <w:spacing w:line="36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课程需求</w:t>
            </w:r>
          </w:p>
        </w:tc>
        <w:tc>
          <w:tcPr>
            <w:tcW w:w="966" w:type="dxa"/>
            <w:shd w:val="clear" w:color="auto" w:fill="D9D9D9"/>
            <w:noWrap w:val="0"/>
            <w:vAlign w:val="center"/>
          </w:tcPr>
          <w:p>
            <w:pPr>
              <w:snapToGrid w:val="0"/>
              <w:spacing w:line="360" w:lineRule="auto"/>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时长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numPr>
                <w:ilvl w:val="0"/>
                <w:numId w:val="12"/>
              </w:numPr>
              <w:snapToGrid w:val="0"/>
              <w:spacing w:line="360" w:lineRule="auto"/>
              <w:jc w:val="center"/>
              <w:rPr>
                <w:rFonts w:hint="eastAsia" w:ascii="宋体" w:hAnsi="宋体" w:eastAsia="宋体" w:cs="宋体"/>
                <w:color w:val="auto"/>
                <w:kern w:val="0"/>
                <w:sz w:val="21"/>
                <w:szCs w:val="21"/>
              </w:rPr>
            </w:pPr>
          </w:p>
        </w:tc>
        <w:tc>
          <w:tcPr>
            <w:tcW w:w="1985" w:type="dxa"/>
            <w:noWrap w:val="0"/>
            <w:vAlign w:val="center"/>
          </w:tcPr>
          <w:p>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Oracle 11g数据库管理培训</w:t>
            </w:r>
          </w:p>
        </w:tc>
        <w:tc>
          <w:tcPr>
            <w:tcW w:w="4363" w:type="dxa"/>
            <w:noWrap w:val="0"/>
            <w:vAlign w:val="center"/>
          </w:tcPr>
          <w:p>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课程内容需包括：安装 Oracle 11g 并配置数据库、管理 Oracle 例程、管理数据库存储结构、创建和管理用户帐户、如何执行备份、监控数据库、解决使用数据库时出现的问题等。</w:t>
            </w:r>
          </w:p>
        </w:tc>
        <w:tc>
          <w:tcPr>
            <w:tcW w:w="966" w:type="dxa"/>
            <w:vMerge w:val="restart"/>
            <w:noWrap w:val="0"/>
            <w:vAlign w:val="center"/>
          </w:tcPr>
          <w:p>
            <w:pPr>
              <w:snapToGrid w:val="0"/>
              <w:spacing w:line="360" w:lineRule="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不少于6人天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numPr>
                <w:ilvl w:val="0"/>
                <w:numId w:val="12"/>
              </w:numPr>
              <w:snapToGrid w:val="0"/>
              <w:spacing w:line="360" w:lineRule="auto"/>
              <w:jc w:val="center"/>
              <w:rPr>
                <w:rFonts w:hint="eastAsia" w:ascii="宋体" w:hAnsi="宋体" w:eastAsia="宋体" w:cs="宋体"/>
                <w:color w:val="auto"/>
                <w:kern w:val="0"/>
                <w:sz w:val="21"/>
                <w:szCs w:val="21"/>
              </w:rPr>
            </w:pPr>
          </w:p>
        </w:tc>
        <w:tc>
          <w:tcPr>
            <w:tcW w:w="1985" w:type="dxa"/>
            <w:noWrap w:val="0"/>
            <w:vAlign w:val="center"/>
          </w:tcPr>
          <w:p>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Oracle 11g数据库新特性培训</w:t>
            </w:r>
          </w:p>
        </w:tc>
        <w:tc>
          <w:tcPr>
            <w:tcW w:w="4363" w:type="dxa"/>
            <w:noWrap w:val="0"/>
            <w:vAlign w:val="center"/>
          </w:tcPr>
          <w:p>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培训需讲解Oracle11g的最新特性，并使用数据库的重演，能够使</w:t>
            </w:r>
            <w:r>
              <w:rPr>
                <w:rFonts w:hint="eastAsia" w:ascii="宋体" w:hAnsi="宋体" w:eastAsia="宋体" w:cs="宋体"/>
                <w:color w:val="auto"/>
                <w:kern w:val="0"/>
                <w:sz w:val="21"/>
                <w:szCs w:val="21"/>
                <w:lang w:val="en-US" w:eastAsia="zh-CN"/>
              </w:rPr>
              <w:t>汉川市人民医院</w:t>
            </w:r>
            <w:r>
              <w:rPr>
                <w:rFonts w:hint="eastAsia" w:ascii="宋体" w:hAnsi="宋体" w:eastAsia="宋体" w:cs="宋体"/>
                <w:color w:val="auto"/>
                <w:kern w:val="0"/>
                <w:sz w:val="21"/>
                <w:szCs w:val="21"/>
              </w:rPr>
              <w:t>切实提高数据库的基础自主管理手段。 </w:t>
            </w:r>
          </w:p>
        </w:tc>
        <w:tc>
          <w:tcPr>
            <w:tcW w:w="966" w:type="dxa"/>
            <w:vMerge w:val="continue"/>
            <w:noWrap w:val="0"/>
            <w:vAlign w:val="center"/>
          </w:tcPr>
          <w:p>
            <w:pPr>
              <w:snapToGrid w:val="0"/>
              <w:spacing w:line="360" w:lineRule="auto"/>
              <w:rPr>
                <w:rFonts w:hint="eastAsia" w:ascii="宋体" w:hAnsi="宋体" w:eastAsia="宋体" w:cs="宋体"/>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numPr>
                <w:ilvl w:val="0"/>
                <w:numId w:val="12"/>
              </w:numPr>
              <w:snapToGrid w:val="0"/>
              <w:spacing w:line="360" w:lineRule="auto"/>
              <w:jc w:val="center"/>
              <w:rPr>
                <w:rFonts w:hint="eastAsia" w:ascii="宋体" w:hAnsi="宋体" w:eastAsia="宋体" w:cs="宋体"/>
                <w:color w:val="auto"/>
                <w:kern w:val="0"/>
                <w:sz w:val="21"/>
                <w:szCs w:val="21"/>
              </w:rPr>
            </w:pPr>
          </w:p>
        </w:tc>
        <w:tc>
          <w:tcPr>
            <w:tcW w:w="1985" w:type="dxa"/>
            <w:noWrap w:val="0"/>
            <w:vAlign w:val="center"/>
          </w:tcPr>
          <w:p>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Oracle 11g RAC实施与管理</w:t>
            </w:r>
          </w:p>
        </w:tc>
        <w:tc>
          <w:tcPr>
            <w:tcW w:w="4363" w:type="dxa"/>
            <w:noWrap w:val="0"/>
            <w:vAlign w:val="center"/>
          </w:tcPr>
          <w:p>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培训需讲解RAC组件、安装，创建，管理和监控RAC数据库、如何设置进行工作负荷管理和实现应用程序高可用性的各种服务、讲解如何为RAC数据库配置备份。</w:t>
            </w:r>
          </w:p>
        </w:tc>
        <w:tc>
          <w:tcPr>
            <w:tcW w:w="966" w:type="dxa"/>
            <w:vMerge w:val="continue"/>
            <w:noWrap w:val="0"/>
            <w:vAlign w:val="center"/>
          </w:tcPr>
          <w:p>
            <w:pPr>
              <w:snapToGrid w:val="0"/>
              <w:spacing w:line="360" w:lineRule="auto"/>
              <w:rPr>
                <w:rFonts w:hint="eastAsia" w:ascii="宋体" w:hAnsi="宋体" w:eastAsia="宋体" w:cs="宋体"/>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numPr>
                <w:ilvl w:val="0"/>
                <w:numId w:val="12"/>
              </w:numPr>
              <w:snapToGrid w:val="0"/>
              <w:spacing w:line="360" w:lineRule="auto"/>
              <w:jc w:val="center"/>
              <w:rPr>
                <w:rFonts w:hint="eastAsia" w:ascii="宋体" w:hAnsi="宋体" w:eastAsia="宋体" w:cs="宋体"/>
                <w:color w:val="auto"/>
                <w:kern w:val="0"/>
                <w:sz w:val="21"/>
                <w:szCs w:val="21"/>
              </w:rPr>
            </w:pPr>
          </w:p>
        </w:tc>
        <w:tc>
          <w:tcPr>
            <w:tcW w:w="1985" w:type="dxa"/>
            <w:noWrap w:val="0"/>
            <w:vAlign w:val="center"/>
          </w:tcPr>
          <w:p>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Oracle 12C数据库管理培训</w:t>
            </w:r>
          </w:p>
        </w:tc>
        <w:tc>
          <w:tcPr>
            <w:tcW w:w="4363" w:type="dxa"/>
            <w:noWrap w:val="0"/>
            <w:vAlign w:val="center"/>
          </w:tcPr>
          <w:p>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安装 Oracle 12C 并配置数据库、管理 Oracle 例程、管理数据库存储结构、创建和管理用户帐户、Oracle多租户介绍，Oracle内存管理等</w:t>
            </w:r>
          </w:p>
        </w:tc>
        <w:tc>
          <w:tcPr>
            <w:tcW w:w="966" w:type="dxa"/>
            <w:vMerge w:val="continue"/>
            <w:noWrap w:val="0"/>
            <w:vAlign w:val="center"/>
          </w:tcPr>
          <w:p>
            <w:pPr>
              <w:snapToGrid w:val="0"/>
              <w:spacing w:line="360" w:lineRule="auto"/>
              <w:rPr>
                <w:rFonts w:hint="eastAsia" w:ascii="宋体" w:hAnsi="宋体" w:eastAsia="宋体" w:cs="宋体"/>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numPr>
                <w:ilvl w:val="0"/>
                <w:numId w:val="12"/>
              </w:numPr>
              <w:snapToGrid w:val="0"/>
              <w:spacing w:line="360" w:lineRule="auto"/>
              <w:jc w:val="center"/>
              <w:rPr>
                <w:rFonts w:hint="eastAsia" w:ascii="宋体" w:hAnsi="宋体" w:eastAsia="宋体" w:cs="宋体"/>
                <w:color w:val="auto"/>
                <w:kern w:val="0"/>
                <w:sz w:val="21"/>
                <w:szCs w:val="21"/>
              </w:rPr>
            </w:pPr>
          </w:p>
        </w:tc>
        <w:tc>
          <w:tcPr>
            <w:tcW w:w="1985" w:type="dxa"/>
            <w:noWrap w:val="0"/>
            <w:vAlign w:val="center"/>
          </w:tcPr>
          <w:p>
            <w:pPr>
              <w:snapToGrid w:val="0"/>
              <w:spacing w:line="360" w:lineRule="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Oracle</w:t>
            </w:r>
            <w:r>
              <w:rPr>
                <w:rFonts w:hint="eastAsia" w:ascii="宋体" w:hAnsi="宋体" w:eastAsia="宋体" w:cs="宋体"/>
                <w:color w:val="auto"/>
                <w:kern w:val="0"/>
                <w:sz w:val="21"/>
                <w:szCs w:val="21"/>
                <w:lang w:val="en-US" w:eastAsia="zh-CN"/>
              </w:rPr>
              <w:t xml:space="preserve"> DG管理培训</w:t>
            </w:r>
          </w:p>
        </w:tc>
        <w:tc>
          <w:tcPr>
            <w:tcW w:w="4363" w:type="dxa"/>
            <w:noWrap w:val="0"/>
            <w:vAlign w:val="center"/>
          </w:tcPr>
          <w:p>
            <w:pPr>
              <w:snapToGrid w:val="0"/>
              <w:spacing w:line="360" w:lineRule="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DG的安装、配置、巡检等</w:t>
            </w:r>
          </w:p>
        </w:tc>
        <w:tc>
          <w:tcPr>
            <w:tcW w:w="966" w:type="dxa"/>
            <w:vMerge w:val="continue"/>
            <w:noWrap w:val="0"/>
            <w:vAlign w:val="center"/>
          </w:tcPr>
          <w:p>
            <w:pPr>
              <w:snapToGrid w:val="0"/>
              <w:spacing w:line="360" w:lineRule="auto"/>
              <w:rPr>
                <w:rFonts w:hint="eastAsia" w:ascii="宋体" w:hAnsi="宋体" w:eastAsia="宋体" w:cs="宋体"/>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numPr>
                <w:ilvl w:val="0"/>
                <w:numId w:val="12"/>
              </w:numPr>
              <w:snapToGrid w:val="0"/>
              <w:spacing w:line="360" w:lineRule="auto"/>
              <w:ind w:left="420" w:leftChars="0" w:hanging="420" w:firstLineChars="0"/>
              <w:jc w:val="center"/>
              <w:rPr>
                <w:rFonts w:hint="eastAsia" w:ascii="宋体" w:hAnsi="宋体" w:eastAsia="宋体" w:cs="宋体"/>
                <w:color w:val="auto"/>
                <w:kern w:val="0"/>
                <w:sz w:val="21"/>
                <w:szCs w:val="21"/>
                <w:lang w:val="en-US" w:eastAsia="zh-CN" w:bidi="ar-SA"/>
              </w:rPr>
            </w:pPr>
          </w:p>
        </w:tc>
        <w:tc>
          <w:tcPr>
            <w:tcW w:w="1985" w:type="dxa"/>
            <w:noWrap w:val="0"/>
            <w:vAlign w:val="center"/>
          </w:tcPr>
          <w:p>
            <w:pPr>
              <w:snapToGrid w:val="0"/>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SQL SERVER</w:t>
            </w:r>
            <w:r>
              <w:rPr>
                <w:rFonts w:hint="eastAsia" w:ascii="宋体" w:hAnsi="宋体" w:eastAsia="宋体" w:cs="宋体"/>
                <w:color w:val="auto"/>
                <w:kern w:val="0"/>
                <w:sz w:val="21"/>
                <w:szCs w:val="21"/>
              </w:rPr>
              <w:t>数据库管理培训</w:t>
            </w:r>
          </w:p>
        </w:tc>
        <w:tc>
          <w:tcPr>
            <w:tcW w:w="4363" w:type="dxa"/>
            <w:noWrap w:val="0"/>
            <w:vAlign w:val="center"/>
          </w:tcPr>
          <w:p>
            <w:pPr>
              <w:snapToGrid w:val="0"/>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课程内容需包括：</w:t>
            </w:r>
            <w:r>
              <w:rPr>
                <w:rFonts w:hint="eastAsia" w:ascii="宋体" w:hAnsi="宋体" w:eastAsia="宋体" w:cs="宋体"/>
                <w:color w:val="auto"/>
                <w:kern w:val="0"/>
                <w:sz w:val="21"/>
                <w:szCs w:val="21"/>
              </w:rPr>
              <w:t>安装</w:t>
            </w:r>
            <w:r>
              <w:rPr>
                <w:rFonts w:hint="eastAsia" w:ascii="宋体" w:hAnsi="宋体" w:eastAsia="宋体" w:cs="宋体"/>
                <w:color w:val="auto"/>
                <w:kern w:val="0"/>
                <w:sz w:val="21"/>
                <w:szCs w:val="21"/>
                <w:lang w:val="en-US" w:eastAsia="zh-CN"/>
              </w:rPr>
              <w:t>SQL SERVER</w:t>
            </w:r>
            <w:r>
              <w:rPr>
                <w:rFonts w:hint="eastAsia" w:ascii="宋体" w:hAnsi="宋体" w:eastAsia="宋体" w:cs="宋体"/>
                <w:color w:val="auto"/>
                <w:kern w:val="0"/>
                <w:sz w:val="21"/>
                <w:szCs w:val="21"/>
              </w:rPr>
              <w:t>并配置数据库、管理数据库存储结构、创建和管理用户帐户、如何执行备份、监控数据库、解决使用数据库时出现的问题</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SQLSERVER查询工具讲解</w:t>
            </w:r>
            <w:r>
              <w:rPr>
                <w:rFonts w:hint="eastAsia" w:ascii="宋体" w:hAnsi="宋体" w:eastAsia="宋体" w:cs="宋体"/>
                <w:color w:val="auto"/>
                <w:kern w:val="0"/>
                <w:sz w:val="21"/>
                <w:szCs w:val="21"/>
              </w:rPr>
              <w:t>等。</w:t>
            </w:r>
          </w:p>
        </w:tc>
        <w:tc>
          <w:tcPr>
            <w:tcW w:w="966" w:type="dxa"/>
            <w:vMerge w:val="continue"/>
            <w:noWrap w:val="0"/>
            <w:vAlign w:val="center"/>
          </w:tcPr>
          <w:p>
            <w:pPr>
              <w:snapToGrid w:val="0"/>
              <w:spacing w:line="360" w:lineRule="auto"/>
              <w:rPr>
                <w:rFonts w:hint="eastAsia" w:ascii="宋体" w:hAnsi="宋体" w:eastAsia="宋体" w:cs="宋体"/>
                <w:color w:val="auto"/>
                <w:kern w:val="0"/>
                <w:sz w:val="21"/>
                <w:szCs w:val="21"/>
                <w:lang w:val="en-US" w:eastAsia="zh-CN"/>
              </w:rPr>
            </w:pPr>
          </w:p>
        </w:tc>
      </w:tr>
    </w:tbl>
    <w:p>
      <w:pPr>
        <w:rPr>
          <w:rFonts w:hint="default"/>
          <w:lang w:val="en-US" w:eastAsia="zh-CN"/>
        </w:rPr>
      </w:pPr>
    </w:p>
    <w:p>
      <w:pPr>
        <w:pStyle w:val="5"/>
        <w:bidi w:val="0"/>
        <w:rPr>
          <w:rFonts w:hint="eastAsia"/>
          <w:lang w:val="en-US" w:eastAsia="zh-CN"/>
        </w:rPr>
      </w:pPr>
      <w:r>
        <w:rPr>
          <w:rFonts w:hint="eastAsia"/>
          <w:lang w:val="en-US" w:eastAsia="zh-CN"/>
        </w:rPr>
        <w:t>本项目其他服务内容与要求</w:t>
      </w:r>
    </w:p>
    <w:p>
      <w:pPr>
        <w:pStyle w:val="59"/>
        <w:numPr>
          <w:ilvl w:val="0"/>
          <w:numId w:val="13"/>
        </w:numPr>
        <w:spacing w:line="360" w:lineRule="auto"/>
        <w:ind w:firstLineChars="0"/>
        <w:rPr>
          <w:rFonts w:asciiTheme="majorEastAsia" w:hAnsiTheme="majorEastAsia" w:eastAsiaTheme="majorEastAsia"/>
          <w:sz w:val="24"/>
        </w:rPr>
      </w:pPr>
      <w:r>
        <w:rPr>
          <w:rFonts w:hint="eastAsia" w:asciiTheme="majorEastAsia" w:hAnsiTheme="majorEastAsia" w:eastAsiaTheme="majorEastAsia"/>
          <w:sz w:val="24"/>
        </w:rPr>
        <w:t>针对</w:t>
      </w:r>
      <w:r>
        <w:rPr>
          <w:rFonts w:hint="eastAsia" w:asciiTheme="majorEastAsia" w:hAnsiTheme="majorEastAsia" w:eastAsiaTheme="majorEastAsia"/>
          <w:sz w:val="24"/>
          <w:lang w:eastAsia="zh-CN"/>
        </w:rPr>
        <w:t>汉川市人民医院维保清单内</w:t>
      </w:r>
      <w:r>
        <w:rPr>
          <w:rFonts w:hint="eastAsia" w:asciiTheme="majorEastAsia" w:hAnsiTheme="majorEastAsia" w:eastAsiaTheme="majorEastAsia"/>
          <w:sz w:val="24"/>
        </w:rPr>
        <w:t>所有在线数据库按目录进行摸底、梳理，整理形成医院数据库档案资料，并进一步做的数据提炼和分析，为后期项目建设提供合理可靠的依据</w:t>
      </w:r>
      <w:r>
        <w:rPr>
          <w:rFonts w:hint="eastAsia" w:asciiTheme="majorEastAsia" w:hAnsiTheme="majorEastAsia" w:eastAsiaTheme="majorEastAsia"/>
          <w:sz w:val="24"/>
          <w:lang w:eastAsia="zh-CN"/>
        </w:rPr>
        <w:t>（</w:t>
      </w:r>
      <w:r>
        <w:rPr>
          <w:rFonts w:hint="eastAsia" w:asciiTheme="majorEastAsia" w:hAnsiTheme="majorEastAsia" w:eastAsiaTheme="majorEastAsia"/>
          <w:sz w:val="24"/>
          <w:lang w:val="en-US" w:eastAsia="zh-CN"/>
        </w:rPr>
        <w:t>摸底要求参照成果交付中相关要求执行</w:t>
      </w:r>
      <w:r>
        <w:rPr>
          <w:rFonts w:hint="eastAsia" w:asciiTheme="majorEastAsia" w:hAnsiTheme="majorEastAsia" w:eastAsiaTheme="majorEastAsia"/>
          <w:sz w:val="24"/>
          <w:lang w:eastAsia="zh-CN"/>
        </w:rPr>
        <w:t>）</w:t>
      </w:r>
      <w:r>
        <w:rPr>
          <w:rFonts w:hint="eastAsia" w:asciiTheme="majorEastAsia" w:hAnsiTheme="majorEastAsia" w:eastAsiaTheme="majorEastAsia"/>
          <w:sz w:val="24"/>
        </w:rPr>
        <w:t>。</w:t>
      </w:r>
    </w:p>
    <w:p>
      <w:pPr>
        <w:pStyle w:val="59"/>
        <w:numPr>
          <w:ilvl w:val="0"/>
          <w:numId w:val="13"/>
        </w:numPr>
        <w:spacing w:line="360" w:lineRule="auto"/>
        <w:ind w:firstLineChars="0"/>
        <w:rPr>
          <w:rFonts w:asciiTheme="majorEastAsia" w:hAnsiTheme="majorEastAsia" w:eastAsiaTheme="majorEastAsia"/>
          <w:sz w:val="24"/>
        </w:rPr>
      </w:pPr>
      <w:r>
        <w:rPr>
          <w:rFonts w:hint="eastAsia" w:asciiTheme="majorEastAsia" w:hAnsiTheme="majorEastAsia" w:eastAsiaTheme="majorEastAsia"/>
          <w:sz w:val="24"/>
        </w:rPr>
        <w:t>工程师</w:t>
      </w:r>
      <w:r>
        <w:rPr>
          <w:rFonts w:hint="eastAsia" w:asciiTheme="majorEastAsia" w:hAnsiTheme="majorEastAsia" w:eastAsiaTheme="majorEastAsia"/>
          <w:sz w:val="24"/>
          <w:lang w:eastAsia="zh-CN"/>
        </w:rPr>
        <w:t>定期</w:t>
      </w:r>
      <w:r>
        <w:rPr>
          <w:rFonts w:hint="eastAsia" w:asciiTheme="majorEastAsia" w:hAnsiTheme="majorEastAsia" w:eastAsiaTheme="majorEastAsia"/>
          <w:sz w:val="24"/>
        </w:rPr>
        <w:t>电话询访用户，向用户硬件、系统及操作等方面的技术人员了解整体运行状况，回答设备日常运行过程中的有关问题，以及安排下一步的服务。工程师对所有清单内数据库进行</w:t>
      </w:r>
      <w:r>
        <w:rPr>
          <w:rFonts w:hint="eastAsia" w:asciiTheme="majorEastAsia" w:hAnsiTheme="majorEastAsia" w:eastAsiaTheme="majorEastAsia"/>
          <w:b/>
          <w:bCs/>
          <w:sz w:val="24"/>
        </w:rPr>
        <w:t>每月</w:t>
      </w:r>
      <w:r>
        <w:rPr>
          <w:rFonts w:hint="eastAsia" w:asciiTheme="majorEastAsia" w:hAnsiTheme="majorEastAsia" w:eastAsiaTheme="majorEastAsia"/>
          <w:b/>
          <w:bCs/>
          <w:sz w:val="24"/>
          <w:lang w:val="en-US" w:eastAsia="zh-CN"/>
        </w:rPr>
        <w:t>至少</w:t>
      </w:r>
      <w:r>
        <w:rPr>
          <w:rFonts w:hint="eastAsia" w:asciiTheme="majorEastAsia" w:hAnsiTheme="majorEastAsia" w:eastAsiaTheme="majorEastAsia"/>
          <w:b/>
          <w:bCs/>
          <w:sz w:val="24"/>
        </w:rPr>
        <w:t>一</w:t>
      </w:r>
      <w:r>
        <w:rPr>
          <w:rFonts w:asciiTheme="majorEastAsia" w:hAnsiTheme="majorEastAsia" w:eastAsiaTheme="majorEastAsia"/>
          <w:b/>
          <w:bCs/>
          <w:sz w:val="24"/>
        </w:rPr>
        <w:t>次的现场例行检查</w:t>
      </w:r>
      <w:r>
        <w:rPr>
          <w:rFonts w:asciiTheme="majorEastAsia" w:hAnsiTheme="majorEastAsia" w:eastAsiaTheme="majorEastAsia"/>
          <w:sz w:val="24"/>
        </w:rPr>
        <w:t>，以避免数据库</w:t>
      </w:r>
      <w:r>
        <w:rPr>
          <w:rFonts w:hint="eastAsia" w:asciiTheme="majorEastAsia" w:hAnsiTheme="majorEastAsia" w:eastAsiaTheme="majorEastAsia"/>
          <w:sz w:val="24"/>
          <w:lang w:val="en-US" w:eastAsia="zh-CN"/>
        </w:rPr>
        <w:t>无定期维护</w:t>
      </w:r>
      <w:r>
        <w:rPr>
          <w:rFonts w:asciiTheme="majorEastAsia" w:hAnsiTheme="majorEastAsia" w:eastAsiaTheme="majorEastAsia"/>
          <w:sz w:val="24"/>
        </w:rPr>
        <w:t>的情况发生，防患于未然。</w:t>
      </w:r>
    </w:p>
    <w:p>
      <w:pPr>
        <w:pStyle w:val="59"/>
        <w:numPr>
          <w:ilvl w:val="0"/>
          <w:numId w:val="13"/>
        </w:numPr>
        <w:spacing w:line="360" w:lineRule="auto"/>
        <w:ind w:firstLineChars="0"/>
        <w:rPr>
          <w:rFonts w:asciiTheme="majorEastAsia" w:hAnsiTheme="majorEastAsia" w:eastAsiaTheme="majorEastAsia"/>
          <w:sz w:val="24"/>
        </w:rPr>
      </w:pPr>
      <w:r>
        <w:rPr>
          <w:rFonts w:hint="eastAsia" w:asciiTheme="majorEastAsia" w:hAnsiTheme="majorEastAsia" w:eastAsiaTheme="majorEastAsia"/>
          <w:sz w:val="24"/>
        </w:rPr>
        <w:t>对数据库的当前备份状态进行梳理排查，包括备份策略、触发时间、备份容量、存储可用空间、备份位置，现有备份执行情况，给出备份情况的完整性和可用性报告，并针对不完善的、有风险的项目提供建议报告，</w:t>
      </w:r>
      <w:r>
        <w:rPr>
          <w:rFonts w:hint="eastAsia" w:asciiTheme="majorEastAsia" w:hAnsiTheme="majorEastAsia" w:eastAsiaTheme="majorEastAsia"/>
          <w:sz w:val="24"/>
          <w:lang w:val="en-US" w:eastAsia="zh-CN"/>
        </w:rPr>
        <w:t>可立即实施的操作</w:t>
      </w:r>
      <w:r>
        <w:rPr>
          <w:rFonts w:hint="eastAsia" w:asciiTheme="majorEastAsia" w:hAnsiTheme="majorEastAsia" w:eastAsiaTheme="majorEastAsia"/>
          <w:sz w:val="24"/>
        </w:rPr>
        <w:t>经医院确认后负责执行。</w:t>
      </w:r>
    </w:p>
    <w:p>
      <w:pPr>
        <w:pStyle w:val="59"/>
        <w:numPr>
          <w:ilvl w:val="0"/>
          <w:numId w:val="13"/>
        </w:numPr>
        <w:spacing w:line="360" w:lineRule="auto"/>
        <w:ind w:firstLineChars="0"/>
        <w:rPr>
          <w:rFonts w:asciiTheme="majorEastAsia" w:hAnsiTheme="majorEastAsia" w:eastAsiaTheme="majorEastAsia"/>
          <w:sz w:val="24"/>
        </w:rPr>
      </w:pPr>
      <w:r>
        <w:rPr>
          <w:rFonts w:hint="eastAsia" w:asciiTheme="majorEastAsia" w:hAnsiTheme="majorEastAsia" w:eastAsiaTheme="majorEastAsia"/>
          <w:sz w:val="24"/>
        </w:rPr>
        <w:t>针对备份情况进行详细的深入检查，并在运维服务中，定期按计划针对备份数据进行</w:t>
      </w:r>
      <w:r>
        <w:rPr>
          <w:rFonts w:hint="eastAsia" w:asciiTheme="majorEastAsia" w:hAnsiTheme="majorEastAsia" w:eastAsiaTheme="majorEastAsia"/>
          <w:sz w:val="24"/>
          <w:lang w:val="en-US" w:eastAsia="zh-CN"/>
        </w:rPr>
        <w:t>完整性确认</w:t>
      </w:r>
      <w:r>
        <w:rPr>
          <w:rFonts w:hint="eastAsia" w:asciiTheme="majorEastAsia" w:hAnsiTheme="majorEastAsia" w:eastAsiaTheme="majorEastAsia"/>
          <w:sz w:val="24"/>
        </w:rPr>
        <w:t>，确保备份数据的</w:t>
      </w:r>
      <w:r>
        <w:rPr>
          <w:rFonts w:hint="eastAsia" w:asciiTheme="majorEastAsia" w:hAnsiTheme="majorEastAsia" w:eastAsiaTheme="majorEastAsia"/>
          <w:sz w:val="24"/>
          <w:lang w:val="en-US" w:eastAsia="zh-CN"/>
        </w:rPr>
        <w:t>安全</w:t>
      </w:r>
      <w:r>
        <w:rPr>
          <w:rFonts w:hint="eastAsia" w:asciiTheme="majorEastAsia" w:hAnsiTheme="majorEastAsia" w:eastAsiaTheme="majorEastAsia"/>
          <w:sz w:val="24"/>
        </w:rPr>
        <w:t>性和可用性。</w:t>
      </w:r>
    </w:p>
    <w:p>
      <w:pPr>
        <w:pStyle w:val="59"/>
        <w:numPr>
          <w:ilvl w:val="0"/>
          <w:numId w:val="13"/>
        </w:numPr>
        <w:spacing w:line="360" w:lineRule="auto"/>
        <w:ind w:firstLineChars="0"/>
        <w:rPr>
          <w:rFonts w:asciiTheme="majorEastAsia" w:hAnsiTheme="majorEastAsia" w:eastAsiaTheme="majorEastAsia"/>
          <w:sz w:val="24"/>
        </w:rPr>
      </w:pPr>
      <w:r>
        <w:rPr>
          <w:rFonts w:hint="eastAsia" w:asciiTheme="majorEastAsia" w:hAnsiTheme="majorEastAsia" w:eastAsiaTheme="majorEastAsia"/>
          <w:sz w:val="24"/>
        </w:rPr>
        <w:t>故障应急响应</w:t>
      </w:r>
      <w:r>
        <w:rPr>
          <w:rFonts w:hint="eastAsia" w:asciiTheme="majorEastAsia" w:hAnsiTheme="majorEastAsia" w:eastAsiaTheme="majorEastAsia"/>
          <w:sz w:val="24"/>
          <w:lang w:eastAsia="zh-CN"/>
        </w:rPr>
        <w:t>：</w:t>
      </w:r>
      <w:r>
        <w:rPr>
          <w:rFonts w:hint="eastAsia" w:asciiTheme="majorEastAsia" w:hAnsiTheme="majorEastAsia" w:eastAsiaTheme="majorEastAsia"/>
          <w:sz w:val="24"/>
        </w:rPr>
        <w:t>提供</w:t>
      </w:r>
      <w:r>
        <w:rPr>
          <w:rFonts w:asciiTheme="majorEastAsia" w:hAnsiTheme="majorEastAsia" w:eastAsiaTheme="majorEastAsia"/>
          <w:sz w:val="24"/>
        </w:rPr>
        <w:t>7*24的响应服务（含7*24上门服务），做到紧急故障10分钟内响应并尝试远程排除故障，必须现场处理的在</w:t>
      </w:r>
      <w:r>
        <w:rPr>
          <w:rFonts w:hint="eastAsia" w:asciiTheme="majorEastAsia" w:hAnsiTheme="majorEastAsia" w:eastAsiaTheme="majorEastAsia"/>
          <w:sz w:val="24"/>
          <w:lang w:val="en-US" w:eastAsia="zh-CN"/>
        </w:rPr>
        <w:t>3</w:t>
      </w:r>
      <w:r>
        <w:rPr>
          <w:rFonts w:hint="eastAsia" w:asciiTheme="majorEastAsia" w:hAnsiTheme="majorEastAsia" w:eastAsiaTheme="majorEastAsia"/>
          <w:sz w:val="24"/>
        </w:rPr>
        <w:t>小时</w:t>
      </w:r>
      <w:r>
        <w:rPr>
          <w:rFonts w:asciiTheme="majorEastAsia" w:hAnsiTheme="majorEastAsia" w:eastAsiaTheme="majorEastAsia"/>
          <w:sz w:val="24"/>
        </w:rPr>
        <w:t>内到达现场，2小时内解决；一般故障</w:t>
      </w:r>
      <w:r>
        <w:rPr>
          <w:rFonts w:hint="eastAsia" w:asciiTheme="majorEastAsia" w:hAnsiTheme="majorEastAsia" w:eastAsiaTheme="majorEastAsia"/>
          <w:sz w:val="24"/>
          <w:lang w:val="en-US" w:eastAsia="zh-CN"/>
        </w:rPr>
        <w:t>4</w:t>
      </w:r>
      <w:r>
        <w:rPr>
          <w:rFonts w:asciiTheme="majorEastAsia" w:hAnsiTheme="majorEastAsia" w:eastAsiaTheme="majorEastAsia"/>
          <w:sz w:val="24"/>
        </w:rPr>
        <w:t>小时内到现场，</w:t>
      </w:r>
      <w:r>
        <w:rPr>
          <w:rFonts w:hint="eastAsia" w:asciiTheme="majorEastAsia" w:hAnsiTheme="majorEastAsia" w:eastAsiaTheme="majorEastAsia"/>
          <w:sz w:val="24"/>
          <w:lang w:eastAsia="zh-CN"/>
        </w:rPr>
        <w:t>到达后</w:t>
      </w:r>
      <w:r>
        <w:rPr>
          <w:rFonts w:hint="eastAsia" w:asciiTheme="majorEastAsia" w:hAnsiTheme="majorEastAsia" w:eastAsiaTheme="majorEastAsia"/>
          <w:sz w:val="24"/>
          <w:lang w:val="en-US" w:eastAsia="zh-CN"/>
        </w:rPr>
        <w:t>3</w:t>
      </w:r>
      <w:r>
        <w:rPr>
          <w:rFonts w:asciiTheme="majorEastAsia" w:hAnsiTheme="majorEastAsia" w:eastAsiaTheme="majorEastAsia"/>
          <w:sz w:val="24"/>
        </w:rPr>
        <w:t>小时内解决，其他非紧急故障与客户协商解决。</w:t>
      </w:r>
    </w:p>
    <w:p>
      <w:pPr>
        <w:pStyle w:val="59"/>
        <w:numPr>
          <w:ilvl w:val="0"/>
          <w:numId w:val="13"/>
        </w:numPr>
        <w:spacing w:line="360" w:lineRule="auto"/>
        <w:ind w:firstLineChars="0"/>
        <w:rPr>
          <w:rFonts w:asciiTheme="majorEastAsia" w:hAnsiTheme="majorEastAsia" w:eastAsiaTheme="majorEastAsia"/>
          <w:sz w:val="24"/>
        </w:rPr>
      </w:pPr>
      <w:r>
        <w:rPr>
          <w:rFonts w:hint="eastAsia" w:asciiTheme="majorEastAsia" w:hAnsiTheme="majorEastAsia" w:eastAsiaTheme="majorEastAsia"/>
          <w:sz w:val="24"/>
          <w:lang w:val="en-US" w:eastAsia="zh-CN"/>
        </w:rPr>
        <w:t>调优要求：</w:t>
      </w:r>
    </w:p>
    <w:p>
      <w:pPr>
        <w:pStyle w:val="59"/>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80" w:firstLineChars="200"/>
        <w:jc w:val="left"/>
        <w:textAlignment w:val="auto"/>
        <w:rPr>
          <w:rFonts w:asciiTheme="majorEastAsia" w:hAnsiTheme="majorEastAsia" w:eastAsiaTheme="majorEastAsia"/>
          <w:sz w:val="24"/>
        </w:rPr>
      </w:pPr>
      <w:r>
        <w:rPr>
          <w:rFonts w:hint="eastAsia" w:asciiTheme="majorEastAsia" w:hAnsiTheme="majorEastAsia" w:eastAsiaTheme="majorEastAsia"/>
          <w:sz w:val="24"/>
        </w:rPr>
        <w:t>协助用户做计划性、目标性调优，尽早发现性能瓶颈，及时调整，保障数据库稳定高效工作；</w:t>
      </w:r>
    </w:p>
    <w:p>
      <w:pPr>
        <w:pStyle w:val="59"/>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80" w:firstLineChars="200"/>
        <w:jc w:val="left"/>
        <w:textAlignment w:val="auto"/>
        <w:rPr>
          <w:rFonts w:asciiTheme="majorEastAsia" w:hAnsiTheme="majorEastAsia" w:eastAsiaTheme="majorEastAsia"/>
          <w:sz w:val="24"/>
        </w:rPr>
      </w:pPr>
      <w:r>
        <w:rPr>
          <w:rFonts w:hint="eastAsia" w:asciiTheme="majorEastAsia" w:hAnsiTheme="majorEastAsia" w:eastAsiaTheme="majorEastAsia"/>
          <w:sz w:val="24"/>
        </w:rPr>
        <w:t>数据库架构的合理化建议，针对用户在使用中遇到的问题或者运维服务中发现的问题提供技术建议，并制定技术实施计划书，协助用户进行配置修改等工作；</w:t>
      </w:r>
    </w:p>
    <w:p>
      <w:pPr>
        <w:pStyle w:val="59"/>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80" w:firstLineChars="200"/>
        <w:jc w:val="left"/>
        <w:textAlignment w:val="auto"/>
        <w:rPr>
          <w:rFonts w:asciiTheme="majorEastAsia" w:hAnsiTheme="majorEastAsia" w:eastAsiaTheme="majorEastAsia"/>
          <w:sz w:val="24"/>
        </w:rPr>
      </w:pPr>
      <w:r>
        <w:rPr>
          <w:rFonts w:hint="eastAsia" w:asciiTheme="majorEastAsia" w:hAnsiTheme="majorEastAsia" w:eastAsiaTheme="majorEastAsia"/>
          <w:sz w:val="24"/>
          <w:lang w:val="en-US" w:eastAsia="zh-CN"/>
        </w:rPr>
        <w:t>对巡检发现的如表空间分配情况、命中率、表索引等，可以完全由维护方实施的（不牵扯到其他第三方的情况），同甲方确认之后尽快执行，从而提升数据库的效能性；</w:t>
      </w:r>
    </w:p>
    <w:p>
      <w:pPr>
        <w:pStyle w:val="59"/>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ajorEastAsia" w:hAnsiTheme="majorEastAsia" w:eastAsiaTheme="majorEastAsia"/>
          <w:sz w:val="24"/>
        </w:rPr>
      </w:pPr>
      <w:r>
        <w:rPr>
          <w:rFonts w:hint="eastAsia" w:asciiTheme="majorEastAsia" w:hAnsiTheme="majorEastAsia" w:eastAsiaTheme="majorEastAsia"/>
          <w:sz w:val="24"/>
        </w:rPr>
        <w:t>其他调优：提升应用系统性能，完成各系统数据库的</w:t>
      </w:r>
      <w:r>
        <w:rPr>
          <w:rFonts w:hint="eastAsia" w:asciiTheme="majorEastAsia" w:hAnsiTheme="majorEastAsia" w:eastAsiaTheme="majorEastAsia"/>
          <w:sz w:val="24"/>
          <w:lang w:val="en-US" w:eastAsia="zh-CN"/>
        </w:rPr>
        <w:t>整体</w:t>
      </w:r>
      <w:r>
        <w:rPr>
          <w:rFonts w:hint="eastAsia" w:asciiTheme="majorEastAsia" w:hAnsiTheme="majorEastAsia" w:eastAsiaTheme="majorEastAsia"/>
          <w:sz w:val="24"/>
        </w:rPr>
        <w:t>调优工作，包括：外部资源调优、行的重新安排调优、SQL</w:t>
      </w:r>
      <w:r>
        <w:rPr>
          <w:rFonts w:hint="eastAsia" w:asciiTheme="majorEastAsia" w:hAnsiTheme="majorEastAsia" w:eastAsiaTheme="majorEastAsia"/>
          <w:sz w:val="24"/>
          <w:lang w:val="en-US" w:eastAsia="zh-CN"/>
        </w:rPr>
        <w:t>语句</w:t>
      </w:r>
      <w:r>
        <w:rPr>
          <w:rFonts w:hint="eastAsia" w:asciiTheme="majorEastAsia" w:hAnsiTheme="majorEastAsia" w:eastAsiaTheme="majorEastAsia"/>
          <w:sz w:val="24"/>
        </w:rPr>
        <w:t>性能调优、表格和索引存储参数设置调优等</w:t>
      </w:r>
      <w:r>
        <w:rPr>
          <w:rFonts w:hint="eastAsia" w:asciiTheme="majorEastAsia" w:hAnsiTheme="majorEastAsia" w:eastAsiaTheme="majorEastAsia"/>
          <w:sz w:val="24"/>
          <w:lang w:eastAsia="zh-CN"/>
        </w:rPr>
        <w:t>（</w:t>
      </w:r>
      <w:r>
        <w:rPr>
          <w:rFonts w:hint="eastAsia" w:asciiTheme="majorEastAsia" w:hAnsiTheme="majorEastAsia" w:eastAsiaTheme="majorEastAsia"/>
          <w:sz w:val="24"/>
          <w:lang w:val="en-US" w:eastAsia="zh-CN"/>
        </w:rPr>
        <w:t>此项工作需要第三方应用厂家实施的，需要甲方负责组织协调，维护方负责协助</w:t>
      </w:r>
      <w:r>
        <w:rPr>
          <w:rFonts w:hint="eastAsia" w:asciiTheme="majorEastAsia" w:hAnsiTheme="majorEastAsia" w:eastAsiaTheme="majorEastAsia"/>
          <w:sz w:val="24"/>
          <w:lang w:eastAsia="zh-CN"/>
        </w:rPr>
        <w:t>）</w:t>
      </w:r>
      <w:r>
        <w:rPr>
          <w:rFonts w:hint="eastAsia" w:asciiTheme="majorEastAsia" w:hAnsiTheme="majorEastAsia" w:eastAsiaTheme="majorEastAsia"/>
          <w:sz w:val="24"/>
        </w:rPr>
        <w:t>。</w:t>
      </w:r>
    </w:p>
    <w:p>
      <w:pPr>
        <w:pStyle w:val="59"/>
        <w:numPr>
          <w:ilvl w:val="0"/>
          <w:numId w:val="13"/>
        </w:numPr>
        <w:spacing w:line="360" w:lineRule="auto"/>
        <w:ind w:firstLineChars="0"/>
        <w:rPr>
          <w:rFonts w:asciiTheme="majorEastAsia" w:hAnsiTheme="majorEastAsia" w:eastAsiaTheme="majorEastAsia"/>
          <w:sz w:val="24"/>
        </w:rPr>
      </w:pPr>
      <w:r>
        <w:rPr>
          <w:rFonts w:hint="eastAsia" w:asciiTheme="majorEastAsia" w:hAnsiTheme="majorEastAsia" w:eastAsiaTheme="majorEastAsia"/>
          <w:sz w:val="24"/>
        </w:rPr>
        <w:t>提供项目建设技术咨询服务，针对用户新的项目建设，提供合理化建议，必要时提供数据库、系统等项目建议方案书。</w:t>
      </w:r>
    </w:p>
    <w:p>
      <w:pPr>
        <w:pStyle w:val="59"/>
        <w:numPr>
          <w:ilvl w:val="0"/>
          <w:numId w:val="13"/>
        </w:numPr>
        <w:spacing w:line="360" w:lineRule="auto"/>
        <w:ind w:firstLineChars="0"/>
        <w:rPr>
          <w:rFonts w:asciiTheme="majorEastAsia" w:hAnsiTheme="majorEastAsia" w:eastAsiaTheme="majorEastAsia"/>
          <w:sz w:val="24"/>
        </w:rPr>
      </w:pPr>
      <w:r>
        <w:rPr>
          <w:rFonts w:hint="eastAsia" w:asciiTheme="majorEastAsia" w:hAnsiTheme="majorEastAsia" w:eastAsiaTheme="majorEastAsia"/>
          <w:sz w:val="24"/>
        </w:rPr>
        <w:t>重大时间节点，提供资深</w:t>
      </w:r>
      <w:r>
        <w:rPr>
          <w:rFonts w:asciiTheme="majorEastAsia" w:hAnsiTheme="majorEastAsia" w:eastAsiaTheme="majorEastAsia"/>
          <w:sz w:val="24"/>
        </w:rPr>
        <w:t>DBA驻场服务，用户在重大项目建设中，如应用系统切换，机房设备升级改造等，应客户要求，运维公司应提供资深DBA现场值守服务，使各业务系统、数据完整性等持续性得到有效的保证，确保</w:t>
      </w:r>
      <w:r>
        <w:rPr>
          <w:rFonts w:hint="eastAsia" w:asciiTheme="majorEastAsia" w:hAnsiTheme="majorEastAsia" w:eastAsiaTheme="majorEastAsia"/>
          <w:sz w:val="24"/>
          <w:lang w:eastAsia="zh-CN"/>
        </w:rPr>
        <w:t>汉川市人民医院</w:t>
      </w:r>
      <w:r>
        <w:rPr>
          <w:rFonts w:asciiTheme="majorEastAsia" w:hAnsiTheme="majorEastAsia" w:eastAsiaTheme="majorEastAsia"/>
          <w:sz w:val="24"/>
        </w:rPr>
        <w:t>数据库的可用性、安全性、效能性。</w:t>
      </w:r>
    </w:p>
    <w:p>
      <w:pPr>
        <w:pStyle w:val="4"/>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数据保密要求</w:t>
      </w:r>
    </w:p>
    <w:p>
      <w:pPr>
        <w:pStyle w:val="59"/>
        <w:numPr>
          <w:ilvl w:val="0"/>
          <w:numId w:val="15"/>
        </w:numPr>
        <w:spacing w:line="360" w:lineRule="auto"/>
        <w:ind w:firstLineChars="0"/>
        <w:rPr>
          <w:rFonts w:hint="eastAsia" w:asciiTheme="majorEastAsia" w:hAnsiTheme="majorEastAsia" w:eastAsiaTheme="majorEastAsia"/>
          <w:sz w:val="24"/>
        </w:rPr>
      </w:pPr>
      <w:r>
        <w:rPr>
          <w:rFonts w:hint="eastAsia" w:asciiTheme="majorEastAsia" w:hAnsiTheme="majorEastAsia" w:eastAsiaTheme="majorEastAsia"/>
          <w:sz w:val="24"/>
        </w:rPr>
        <w:t>乙方在本</w:t>
      </w:r>
      <w:r>
        <w:rPr>
          <w:rFonts w:hint="eastAsia" w:asciiTheme="majorEastAsia" w:hAnsiTheme="majorEastAsia" w:eastAsiaTheme="majorEastAsia"/>
          <w:sz w:val="24"/>
          <w:lang w:val="en-US" w:eastAsia="zh-CN"/>
        </w:rPr>
        <w:t>项目</w:t>
      </w:r>
      <w:r>
        <w:rPr>
          <w:rFonts w:hint="eastAsia" w:asciiTheme="majorEastAsia" w:hAnsiTheme="majorEastAsia" w:eastAsiaTheme="majorEastAsia"/>
          <w:sz w:val="24"/>
        </w:rPr>
        <w:t>履行过程中如接触到甲方的商业秘密（包括但不限于本</w:t>
      </w:r>
      <w:r>
        <w:rPr>
          <w:rFonts w:hint="eastAsia" w:asciiTheme="majorEastAsia" w:hAnsiTheme="majorEastAsia" w:eastAsiaTheme="majorEastAsia"/>
          <w:sz w:val="24"/>
          <w:lang w:val="en-US" w:eastAsia="zh-CN"/>
        </w:rPr>
        <w:t>项目的</w:t>
      </w:r>
      <w:r>
        <w:rPr>
          <w:rFonts w:hint="eastAsia" w:asciiTheme="majorEastAsia" w:hAnsiTheme="majorEastAsia" w:eastAsiaTheme="majorEastAsia"/>
          <w:sz w:val="24"/>
        </w:rPr>
        <w:t>内容、技术资料、图纸、数据、客户信息等），应当负责保密，具体要求如下：</w:t>
      </w:r>
    </w:p>
    <w:p>
      <w:pPr>
        <w:pStyle w:val="59"/>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未经甲方书面授权，乙方不得泄露、复制、使用、散布或通过其他任何方式使甲方商业秘密的保密状态受到侵害，且乙方不得授权任何第三方采取以上行为；</w:t>
      </w:r>
    </w:p>
    <w:p>
      <w:pPr>
        <w:pStyle w:val="59"/>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乙方应当采取有效措施，约束其员工及所有参与完成本项目项下工作的人员保守甲方的商业秘密。如因乙方员工或任何参与完成本合同项下工作的人员行为不当使甲方商业秘密的保密状态受到侵害的，除侵权人承担侵权责任外，甲方有权解除合同。</w:t>
      </w:r>
    </w:p>
    <w:p>
      <w:pPr>
        <w:pStyle w:val="59"/>
        <w:numPr>
          <w:ilvl w:val="0"/>
          <w:numId w:val="15"/>
        </w:numPr>
        <w:spacing w:line="360" w:lineRule="auto"/>
        <w:ind w:firstLineChars="0"/>
        <w:rPr>
          <w:rFonts w:hint="eastAsia" w:asciiTheme="majorEastAsia" w:hAnsiTheme="majorEastAsia" w:eastAsiaTheme="majorEastAsia"/>
          <w:sz w:val="24"/>
        </w:rPr>
      </w:pPr>
      <w:r>
        <w:rPr>
          <w:rFonts w:hint="eastAsia" w:asciiTheme="majorEastAsia" w:hAnsiTheme="majorEastAsia" w:eastAsiaTheme="majorEastAsia"/>
          <w:sz w:val="24"/>
        </w:rPr>
        <w:t>保密条款具有独立性，不受本</w:t>
      </w:r>
      <w:r>
        <w:rPr>
          <w:rFonts w:hint="eastAsia" w:asciiTheme="majorEastAsia" w:hAnsiTheme="majorEastAsia" w:eastAsiaTheme="majorEastAsia"/>
          <w:sz w:val="24"/>
          <w:lang w:val="en-US" w:eastAsia="zh-CN"/>
        </w:rPr>
        <w:t>项目</w:t>
      </w:r>
      <w:r>
        <w:rPr>
          <w:rFonts w:hint="eastAsia" w:asciiTheme="majorEastAsia" w:hAnsiTheme="majorEastAsia" w:eastAsiaTheme="majorEastAsia"/>
          <w:sz w:val="24"/>
        </w:rPr>
        <w:t>终止的影响。若本</w:t>
      </w:r>
      <w:r>
        <w:rPr>
          <w:rFonts w:hint="eastAsia" w:asciiTheme="majorEastAsia" w:hAnsiTheme="majorEastAsia" w:eastAsiaTheme="majorEastAsia"/>
          <w:sz w:val="24"/>
          <w:lang w:val="en-US" w:eastAsia="zh-CN"/>
        </w:rPr>
        <w:t>项目最终签订的合同</w:t>
      </w:r>
      <w:r>
        <w:rPr>
          <w:rFonts w:hint="eastAsia" w:asciiTheme="majorEastAsia" w:hAnsiTheme="majorEastAsia" w:eastAsiaTheme="majorEastAsia"/>
          <w:sz w:val="24"/>
        </w:rPr>
        <w:t>中包含《保密协议》且《保密协议》内容与本条约定不一致，则乙方应按照《保密协议》履行保密义务并承担相应法律责任。</w:t>
      </w:r>
    </w:p>
    <w:p>
      <w:pPr>
        <w:pStyle w:val="59"/>
        <w:numPr>
          <w:ilvl w:val="0"/>
          <w:numId w:val="15"/>
        </w:numPr>
        <w:spacing w:line="360" w:lineRule="auto"/>
        <w:ind w:firstLineChars="0"/>
        <w:rPr>
          <w:rFonts w:hint="eastAsia" w:asciiTheme="majorEastAsia" w:hAnsiTheme="majorEastAsia" w:eastAsiaTheme="majorEastAsia"/>
          <w:sz w:val="24"/>
        </w:rPr>
      </w:pPr>
      <w:r>
        <w:rPr>
          <w:rFonts w:hint="eastAsia" w:asciiTheme="majorEastAsia" w:hAnsiTheme="majorEastAsia" w:eastAsiaTheme="majorEastAsia"/>
          <w:sz w:val="24"/>
          <w:lang w:val="en-US" w:eastAsia="zh-CN"/>
        </w:rPr>
        <w:t>其他详见：附件一《保密协议》</w:t>
      </w:r>
    </w:p>
    <w:p>
      <w:pPr>
        <w:pStyle w:val="4"/>
        <w:rPr>
          <w:rFonts w:ascii="宋体" w:hAnsi="宋体" w:eastAsia="宋体"/>
          <w:color w:val="auto"/>
          <w:highlight w:val="none"/>
        </w:rPr>
      </w:pPr>
      <w:r>
        <w:rPr>
          <w:rFonts w:hint="eastAsia" w:ascii="宋体" w:hAnsi="宋体" w:eastAsia="宋体"/>
          <w:color w:val="auto"/>
          <w:highlight w:val="none"/>
          <w:lang w:val="en-US" w:eastAsia="zh-CN"/>
        </w:rPr>
        <w:t>维保</w:t>
      </w:r>
      <w:r>
        <w:rPr>
          <w:rFonts w:hint="eastAsia" w:ascii="宋体" w:hAnsi="宋体" w:eastAsia="宋体"/>
          <w:color w:val="auto"/>
          <w:highlight w:val="none"/>
        </w:rPr>
        <w:t>数据库</w:t>
      </w:r>
      <w:r>
        <w:rPr>
          <w:rFonts w:hint="eastAsia" w:ascii="宋体" w:hAnsi="宋体" w:eastAsia="宋体"/>
          <w:color w:val="auto"/>
          <w:highlight w:val="none"/>
          <w:lang w:val="en-US" w:eastAsia="zh-CN"/>
        </w:rPr>
        <w:t>清单</w:t>
      </w:r>
    </w:p>
    <w:tbl>
      <w:tblPr>
        <w:tblStyle w:val="42"/>
        <w:tblW w:w="77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745"/>
        <w:gridCol w:w="4705"/>
        <w:gridCol w:w="1282"/>
        <w:gridCol w:w="9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285" w:hRule="atLeast"/>
        </w:trPr>
        <w:tc>
          <w:tcPr>
            <w:tcW w:w="745" w:type="dxa"/>
            <w:tcBorders>
              <w:tl2br w:val="nil"/>
              <w:tr2bl w:val="nil"/>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21"/>
                <w:szCs w:val="21"/>
                <w:highlight w:val="none"/>
                <w:u w:val="none"/>
                <w:lang w:val="en-US" w:eastAsia="zh-CN" w:bidi="ar"/>
                <w14:textFill>
                  <w14:solidFill>
                    <w14:schemeClr w14:val="tx1"/>
                  </w14:solidFill>
                </w14:textFill>
              </w:rPr>
              <w:t>序号</w:t>
            </w:r>
          </w:p>
        </w:tc>
        <w:tc>
          <w:tcPr>
            <w:tcW w:w="4705" w:type="dxa"/>
            <w:tcBorders>
              <w:tl2br w:val="nil"/>
              <w:tr2bl w:val="nil"/>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val="0"/>
                <w:i w:val="0"/>
                <w:color w:val="000000" w:themeColor="text1"/>
                <w:sz w:val="21"/>
                <w:szCs w:val="21"/>
                <w:highlight w:val="none"/>
                <w:u w:val="none"/>
                <w:lang w:val="en-US"/>
                <w14:textFill>
                  <w14:solidFill>
                    <w14:schemeClr w14:val="tx1"/>
                  </w14:solidFill>
                </w14:textFill>
              </w:rPr>
            </w:pPr>
            <w:r>
              <w:rPr>
                <w:rFonts w:hint="eastAsia" w:asciiTheme="minorEastAsia" w:hAnsiTheme="minorEastAsia" w:cstheme="minorEastAsia"/>
                <w:b/>
                <w:bCs w:val="0"/>
                <w:i w:val="0"/>
                <w:color w:val="000000" w:themeColor="text1"/>
                <w:kern w:val="0"/>
                <w:sz w:val="21"/>
                <w:szCs w:val="21"/>
                <w:highlight w:val="none"/>
                <w:u w:val="none"/>
                <w:lang w:val="en-US" w:eastAsia="zh-CN" w:bidi="ar"/>
                <w14:textFill>
                  <w14:solidFill>
                    <w14:schemeClr w14:val="tx1"/>
                  </w14:solidFill>
                </w14:textFill>
              </w:rPr>
              <w:t>系统名称</w:t>
            </w:r>
          </w:p>
        </w:tc>
        <w:tc>
          <w:tcPr>
            <w:tcW w:w="1282" w:type="dxa"/>
            <w:tcBorders>
              <w:tl2br w:val="nil"/>
              <w:tr2bl w:val="nil"/>
            </w:tcBorders>
            <w:shd w:val="clear" w:color="auto" w:fill="FFFFFF" w:themeFill="background1"/>
            <w:noWrap/>
            <w:tcMar>
              <w:top w:w="15" w:type="dxa"/>
              <w:left w:w="15" w:type="dxa"/>
              <w:right w:w="15" w:type="dxa"/>
            </w:tcMar>
            <w:vAlign w:val="center"/>
          </w:tcPr>
          <w:p>
            <w:pPr>
              <w:jc w:val="center"/>
              <w:rPr>
                <w:rFonts w:hint="default" w:asciiTheme="minorEastAsia" w:hAnsiTheme="minorEastAsia" w:eastAsiaTheme="minorEastAsia" w:cstheme="minorEastAsia"/>
                <w:b/>
                <w:bCs w:val="0"/>
                <w:i w:val="0"/>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val="0"/>
                <w:i w:val="0"/>
                <w:color w:val="000000" w:themeColor="text1"/>
                <w:sz w:val="21"/>
                <w:szCs w:val="21"/>
                <w:highlight w:val="none"/>
                <w:u w:val="none"/>
                <w:lang w:val="en-US" w:eastAsia="zh-CN"/>
                <w14:textFill>
                  <w14:solidFill>
                    <w14:schemeClr w14:val="tx1"/>
                  </w14:solidFill>
                </w14:textFill>
              </w:rPr>
              <w:t>数据库类型</w:t>
            </w:r>
          </w:p>
        </w:tc>
        <w:tc>
          <w:tcPr>
            <w:tcW w:w="968" w:type="dxa"/>
            <w:tcBorders>
              <w:tl2br w:val="nil"/>
              <w:tr2bl w:val="nil"/>
            </w:tcBorders>
            <w:shd w:val="clear" w:color="auto" w:fill="FFFFFF" w:themeFill="background1"/>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val="0"/>
                <w:i w:val="0"/>
                <w:color w:val="000000" w:themeColor="text1"/>
                <w:sz w:val="21"/>
                <w:szCs w:val="21"/>
                <w:highlight w:val="none"/>
                <w:u w:val="none"/>
                <w:lang w:val="en-US" w:eastAsia="zh-CN"/>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371" w:hRule="atLeast"/>
        </w:trPr>
        <w:tc>
          <w:tcPr>
            <w:tcW w:w="745" w:type="dxa"/>
            <w:tcBorders>
              <w:tl2br w:val="nil"/>
              <w:tr2bl w:val="nil"/>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t>1</w:t>
            </w:r>
          </w:p>
        </w:tc>
        <w:tc>
          <w:tcPr>
            <w:tcW w:w="4705" w:type="dxa"/>
            <w:tcBorders>
              <w:tl2br w:val="nil"/>
              <w:tr2bl w:val="nil"/>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default" w:asciiTheme="minorEastAsia" w:hAnsiTheme="minorEastAsia" w:eastAsiaTheme="minorEastAsia" w:cstheme="minorEastAsia"/>
                <w:b w:val="0"/>
                <w:bCs/>
                <w:i w:val="0"/>
                <w:color w:val="000000" w:themeColor="text1"/>
                <w:sz w:val="21"/>
                <w:szCs w:val="21"/>
                <w:highlight w:val="none"/>
                <w:u w:val="none"/>
                <w:lang w:val="en-US"/>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t>东软医院管理信息系统(HIS系统）/EMR/手麻</w:t>
            </w:r>
          </w:p>
        </w:tc>
        <w:tc>
          <w:tcPr>
            <w:tcW w:w="1282" w:type="dxa"/>
            <w:tcBorders>
              <w:tl2br w:val="nil"/>
              <w:tr2bl w:val="nil"/>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t>oracle</w:t>
            </w:r>
          </w:p>
        </w:tc>
        <w:tc>
          <w:tcPr>
            <w:tcW w:w="968" w:type="dxa"/>
            <w:tcBorders>
              <w:tl2br w:val="nil"/>
              <w:tr2bl w:val="nil"/>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t>RAC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285" w:hRule="atLeast"/>
        </w:trPr>
        <w:tc>
          <w:tcPr>
            <w:tcW w:w="745" w:type="dxa"/>
            <w:tcBorders>
              <w:tl2br w:val="nil"/>
              <w:tr2bl w:val="nil"/>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t>2</w:t>
            </w:r>
          </w:p>
        </w:tc>
        <w:tc>
          <w:tcPr>
            <w:tcW w:w="4705" w:type="dxa"/>
            <w:tcBorders>
              <w:tl2br w:val="nil"/>
              <w:tr2bl w:val="nil"/>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t>东软医学影像系统</w:t>
            </w:r>
          </w:p>
        </w:tc>
        <w:tc>
          <w:tcPr>
            <w:tcW w:w="1282" w:type="dxa"/>
            <w:tcBorders>
              <w:tl2br w:val="nil"/>
              <w:tr2bl w:val="nil"/>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t>oracle</w:t>
            </w:r>
          </w:p>
        </w:tc>
        <w:tc>
          <w:tcPr>
            <w:tcW w:w="968" w:type="dxa"/>
            <w:tcBorders>
              <w:tl2br w:val="nil"/>
              <w:tr2bl w:val="nil"/>
            </w:tcBorders>
            <w:shd w:val="clear" w:color="auto" w:fill="FFFFFF" w:themeFill="background1"/>
            <w:noWrap/>
            <w:tcMar>
              <w:top w:w="15" w:type="dxa"/>
              <w:left w:w="15" w:type="dxa"/>
              <w:right w:w="15" w:type="dxa"/>
            </w:tcMar>
            <w:vAlign w:val="center"/>
          </w:tcPr>
          <w:p>
            <w:pPr>
              <w:jc w:val="center"/>
              <w:rPr>
                <w:rFonts w:hint="eastAsia" w:asciiTheme="minorEastAsia" w:hAnsiTheme="minorEastAsia" w:eastAsiaTheme="minorEastAsia" w:cstheme="minorEastAsia"/>
                <w:b w:val="0"/>
                <w:bCs/>
                <w:i w:val="0"/>
                <w:color w:val="000000" w:themeColor="text1"/>
                <w:sz w:val="21"/>
                <w:szCs w:val="21"/>
                <w:highlight w:val="none"/>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285" w:hRule="atLeast"/>
        </w:trPr>
        <w:tc>
          <w:tcPr>
            <w:tcW w:w="745" w:type="dxa"/>
            <w:tcBorders>
              <w:tl2br w:val="nil"/>
              <w:tr2bl w:val="nil"/>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1"/>
                <w:szCs w:val="21"/>
                <w:highlight w:val="none"/>
                <w:u w:val="none"/>
                <w14:textFill>
                  <w14:solidFill>
                    <w14:schemeClr w14:val="tx1"/>
                  </w14:solidFill>
                </w14:textFill>
              </w:rPr>
            </w:pPr>
            <w:r>
              <w:rPr>
                <w:rFonts w:hint="eastAsia" w:asciiTheme="minorEastAsia" w:hAnsi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t>3</w:t>
            </w:r>
          </w:p>
        </w:tc>
        <w:tc>
          <w:tcPr>
            <w:tcW w:w="4705" w:type="dxa"/>
            <w:tcBorders>
              <w:tl2br w:val="nil"/>
              <w:tr2bl w:val="nil"/>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t>平台（360视图、CDA文档、EMPI（患者主索引））</w:t>
            </w:r>
          </w:p>
        </w:tc>
        <w:tc>
          <w:tcPr>
            <w:tcW w:w="1282" w:type="dxa"/>
            <w:tcBorders>
              <w:tl2br w:val="nil"/>
              <w:tr2bl w:val="nil"/>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t>oracle</w:t>
            </w:r>
          </w:p>
        </w:tc>
        <w:tc>
          <w:tcPr>
            <w:tcW w:w="968" w:type="dxa"/>
            <w:tcBorders>
              <w:tl2br w:val="nil"/>
              <w:tr2bl w:val="nil"/>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t>RAC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285" w:hRule="atLeast"/>
        </w:trPr>
        <w:tc>
          <w:tcPr>
            <w:tcW w:w="745" w:type="dxa"/>
            <w:tcBorders>
              <w:tl2br w:val="nil"/>
              <w:tr2bl w:val="nil"/>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t>4</w:t>
            </w:r>
          </w:p>
        </w:tc>
        <w:tc>
          <w:tcPr>
            <w:tcW w:w="4705" w:type="dxa"/>
            <w:tcBorders>
              <w:tl2br w:val="nil"/>
              <w:tr2bl w:val="nil"/>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default" w:asciiTheme="minorEastAsia" w:hAnsiTheme="minorEastAsia" w:eastAsia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t>HERP</w:t>
            </w:r>
          </w:p>
        </w:tc>
        <w:tc>
          <w:tcPr>
            <w:tcW w:w="1282" w:type="dxa"/>
            <w:tcBorders>
              <w:tl2br w:val="nil"/>
              <w:tr2bl w:val="nil"/>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t>SQL</w:t>
            </w:r>
            <w:r>
              <w:rPr>
                <w:rFonts w:hint="eastAsia" w:asciiTheme="minorEastAsia" w:hAnsi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t xml:space="preserve"> Sever</w:t>
            </w:r>
          </w:p>
        </w:tc>
        <w:tc>
          <w:tcPr>
            <w:tcW w:w="968" w:type="dxa"/>
            <w:tcBorders>
              <w:tl2br w:val="nil"/>
              <w:tr2bl w:val="nil"/>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kern w:val="0"/>
                <w:sz w:val="21"/>
                <w:szCs w:val="21"/>
                <w:highlight w:val="none"/>
                <w:u w:val="none"/>
                <w:lang w:val="en-US" w:eastAsia="zh-CN" w:bidi="ar"/>
                <w14:textFill>
                  <w14:solidFill>
                    <w14:schemeClr w14:val="tx1"/>
                  </w14:solidFill>
                </w14:textFill>
              </w:rPr>
            </w:pPr>
          </w:p>
        </w:tc>
      </w:tr>
    </w:tbl>
    <w:p>
      <w:pPr>
        <w:pStyle w:val="23"/>
        <w:rPr>
          <w:lang w:val="zh-CN" w:eastAsia="zh-CN"/>
        </w:rPr>
      </w:pPr>
    </w:p>
    <w:p>
      <w:pPr>
        <w:pStyle w:val="23"/>
        <w:rPr>
          <w:lang w:val="zh-CN" w:eastAsia="zh-CN"/>
        </w:rPr>
      </w:pPr>
    </w:p>
    <w:p>
      <w:pPr>
        <w:pStyle w:val="4"/>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服务期限</w:t>
      </w:r>
    </w:p>
    <w:p>
      <w:pPr>
        <w:ind w:firstLine="440" w:firstLineChars="200"/>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sz w:val="22"/>
          <w:szCs w:val="22"/>
          <w:lang w:val="zh-CN"/>
        </w:rPr>
        <w:t>服务期限：</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lang w:val="zh-CN"/>
        </w:rPr>
        <w:t>壹</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lang w:val="zh-CN"/>
        </w:rPr>
        <w:t>年</w:t>
      </w:r>
      <w:r>
        <w:rPr>
          <w:rFonts w:hint="eastAsia" w:asciiTheme="minorEastAsia" w:hAnsiTheme="minorEastAsia" w:eastAsiaTheme="minorEastAsia" w:cstheme="minorEastAsia"/>
          <w:color w:val="000000" w:themeColor="text1"/>
          <w:sz w:val="22"/>
          <w:szCs w:val="22"/>
          <w14:textFill>
            <w14:solidFill>
              <w14:schemeClr w14:val="tx1"/>
            </w14:solidFill>
          </w14:textFill>
        </w:rPr>
        <w:t>，合同按年签订。</w:t>
      </w:r>
    </w:p>
    <w:p>
      <w:pPr>
        <w:ind w:firstLine="440" w:firstLineChars="200"/>
        <w:rPr>
          <w:rFonts w:hint="eastAsia"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合同到期如服务内容无变化，双方均无异议可优先续签。</w:t>
      </w:r>
    </w:p>
    <w:p>
      <w:pP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br w:type="page"/>
      </w:r>
      <w:bookmarkStart w:id="35" w:name="_GoBack"/>
      <w:bookmarkEnd w:id="35"/>
    </w:p>
    <w:p>
      <w:pPr>
        <w:pStyle w:val="4"/>
        <w:rPr>
          <w:rFonts w:hint="eastAsia"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评分办法</w:t>
      </w:r>
    </w:p>
    <w:tbl>
      <w:tblPr>
        <w:tblStyle w:val="42"/>
        <w:tblW w:w="92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108" w:type="dxa"/>
          <w:bottom w:w="57" w:type="dxa"/>
          <w:right w:w="108" w:type="dxa"/>
        </w:tblCellMar>
      </w:tblPr>
      <w:tblGrid>
        <w:gridCol w:w="661"/>
        <w:gridCol w:w="1110"/>
        <w:gridCol w:w="6796"/>
        <w:gridCol w:w="7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0" w:hRule="atLeast"/>
        </w:trPr>
        <w:tc>
          <w:tcPr>
            <w:tcW w:w="661" w:type="dxa"/>
            <w:tcBorders>
              <w:top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b/>
                <w:bCs/>
                <w:spacing w:val="-6"/>
                <w:szCs w:val="21"/>
              </w:rPr>
            </w:pPr>
            <w:r>
              <w:rPr>
                <w:rFonts w:hint="eastAsia" w:asciiTheme="minorEastAsia" w:hAnsiTheme="minorEastAsia" w:eastAsiaTheme="minorEastAsia" w:cstheme="minorEastAsia"/>
                <w:b/>
                <w:bCs/>
                <w:szCs w:val="21"/>
              </w:rPr>
              <w:t>类别</w:t>
            </w:r>
          </w:p>
        </w:tc>
        <w:tc>
          <w:tcPr>
            <w:tcW w:w="1110"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b/>
                <w:bCs/>
                <w:spacing w:val="-6"/>
                <w:szCs w:val="21"/>
              </w:rPr>
            </w:pPr>
            <w:r>
              <w:rPr>
                <w:rFonts w:hint="eastAsia" w:asciiTheme="minorEastAsia" w:hAnsiTheme="minorEastAsia" w:eastAsiaTheme="minorEastAsia" w:cstheme="minorEastAsia"/>
                <w:b/>
                <w:bCs/>
                <w:szCs w:val="21"/>
              </w:rPr>
              <w:t>评审因素</w:t>
            </w:r>
          </w:p>
        </w:tc>
        <w:tc>
          <w:tcPr>
            <w:tcW w:w="6796"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b/>
                <w:bCs/>
                <w:spacing w:val="-6"/>
                <w:szCs w:val="21"/>
              </w:rPr>
            </w:pPr>
            <w:r>
              <w:rPr>
                <w:rFonts w:hint="eastAsia" w:asciiTheme="minorEastAsia" w:hAnsiTheme="minorEastAsia" w:eastAsiaTheme="minorEastAsia" w:cstheme="minorEastAsia"/>
                <w:b/>
                <w:bCs/>
                <w:szCs w:val="21"/>
              </w:rPr>
              <w:t>评审标准</w:t>
            </w:r>
          </w:p>
        </w:tc>
        <w:tc>
          <w:tcPr>
            <w:tcW w:w="721" w:type="dxa"/>
            <w:tcBorders>
              <w:top w:val="single" w:color="auto" w:sz="12"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cantSplit/>
          <w:trHeight w:val="741" w:hRule="atLeast"/>
        </w:trPr>
        <w:tc>
          <w:tcPr>
            <w:tcW w:w="661" w:type="dxa"/>
            <w:vMerge w:val="restart"/>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14:textFill>
                  <w14:solidFill>
                    <w14:schemeClr w14:val="tx1"/>
                  </w14:solidFill>
                </w14:textFill>
              </w:rPr>
              <w:t>商务</w:t>
            </w:r>
            <w:r>
              <w:rPr>
                <w:rFonts w:hint="eastAsia" w:asciiTheme="minorEastAsia" w:hAnsiTheme="minorEastAsia" w:cstheme="minorEastAsia"/>
                <w:color w:val="000000" w:themeColor="text1"/>
                <w:spacing w:val="-6"/>
                <w:szCs w:val="21"/>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pacing w:val="-6"/>
                <w:szCs w:val="21"/>
                <w14:textFill>
                  <w14:solidFill>
                    <w14:schemeClr w14:val="tx1"/>
                  </w14:solidFill>
                </w14:textFill>
              </w:rPr>
              <w:t>分</w:t>
            </w:r>
          </w:p>
        </w:tc>
        <w:tc>
          <w:tcPr>
            <w:tcW w:w="111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kern w:val="0"/>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pacing w:val="-6"/>
                <w:kern w:val="0"/>
                <w:sz w:val="21"/>
                <w:szCs w:val="21"/>
                <w:lang w:val="en-US" w:eastAsia="zh-CN" w:bidi="ar-SA"/>
                <w14:textFill>
                  <w14:solidFill>
                    <w14:schemeClr w14:val="tx1"/>
                  </w14:solidFill>
                </w14:textFill>
              </w:rPr>
              <w:t>公司实力</w:t>
            </w:r>
          </w:p>
        </w:tc>
        <w:tc>
          <w:tcPr>
            <w:tcW w:w="679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rPr>
                <w:rFonts w:hint="default" w:asciiTheme="minorEastAsia" w:hAnsiTheme="minorEastAsia" w:eastAsiaTheme="minorEastAsia" w:cstheme="minorEastAsia"/>
                <w:kern w:val="2"/>
                <w:sz w:val="21"/>
                <w:szCs w:val="24"/>
                <w:highlight w:val="none"/>
                <w:lang w:val="en-US" w:eastAsia="zh-CN" w:bidi="ar-SA"/>
              </w:rPr>
            </w:pPr>
            <w:r>
              <w:rPr>
                <w:rFonts w:hint="eastAsia" w:asciiTheme="minorEastAsia" w:hAnsiTheme="minorEastAsia" w:cstheme="minorEastAsia"/>
                <w:kern w:val="2"/>
                <w:sz w:val="21"/>
                <w:szCs w:val="24"/>
                <w:highlight w:val="none"/>
                <w:lang w:val="en-US" w:eastAsia="zh-CN" w:bidi="ar-SA"/>
              </w:rPr>
              <w:t>公司具有本行业相关的主流IT原厂商合作伙伴、代理证书等，每提供一个得0.5分，本项最高得2分。</w:t>
            </w:r>
          </w:p>
        </w:tc>
        <w:tc>
          <w:tcPr>
            <w:tcW w:w="721"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kern w:val="2"/>
                <w:sz w:val="21"/>
                <w:szCs w:val="21"/>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pacing w:val="-6"/>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6"/>
                <w:szCs w:val="21"/>
                <w:highlight w:val="none"/>
                <w:lang w:val="en-US" w:eastAsia="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cantSplit/>
          <w:trHeight w:val="1527" w:hRule="atLeast"/>
        </w:trPr>
        <w:tc>
          <w:tcPr>
            <w:tcW w:w="661" w:type="dxa"/>
            <w:vMerge w:val="continue"/>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szCs w:val="21"/>
                <w14:textFill>
                  <w14:solidFill>
                    <w14:schemeClr w14:val="tx1"/>
                  </w14:solidFill>
                </w14:textFill>
              </w:rPr>
            </w:pPr>
          </w:p>
        </w:tc>
        <w:tc>
          <w:tcPr>
            <w:tcW w:w="111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kern w:val="0"/>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pacing w:val="-6"/>
                <w:kern w:val="0"/>
                <w:sz w:val="21"/>
                <w:szCs w:val="21"/>
                <w:lang w:val="en-US" w:eastAsia="zh-CN" w:bidi="ar-SA"/>
                <w14:textFill>
                  <w14:solidFill>
                    <w14:schemeClr w14:val="tx1"/>
                  </w14:solidFill>
                </w14:textFill>
              </w:rPr>
              <w:t>类似</w:t>
            </w:r>
            <w:r>
              <w:rPr>
                <w:rFonts w:hint="eastAsia" w:asciiTheme="minorEastAsia" w:hAnsiTheme="minorEastAsia" w:eastAsiaTheme="minorEastAsia" w:cstheme="minorEastAsia"/>
                <w:color w:val="000000" w:themeColor="text1"/>
                <w:spacing w:val="-6"/>
                <w:kern w:val="0"/>
                <w:sz w:val="21"/>
                <w:szCs w:val="21"/>
                <w:lang w:val="en-US" w:eastAsia="zh-CN" w:bidi="ar-SA"/>
                <w14:textFill>
                  <w14:solidFill>
                    <w14:schemeClr w14:val="tx1"/>
                  </w14:solidFill>
                </w14:textFill>
              </w:rPr>
              <w:t>业绩</w:t>
            </w:r>
          </w:p>
        </w:tc>
        <w:tc>
          <w:tcPr>
            <w:tcW w:w="679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Theme="minorEastAsia" w:hAnsiTheme="minorEastAsia" w:eastAsiaTheme="minorEastAsia" w:cstheme="minorEastAsia"/>
                <w:kern w:val="2"/>
                <w:sz w:val="21"/>
                <w:szCs w:val="24"/>
                <w:highlight w:val="none"/>
                <w:lang w:val="en-US" w:eastAsia="zh-CN" w:bidi="ar-SA"/>
              </w:rPr>
            </w:pPr>
            <w:r>
              <w:rPr>
                <w:rFonts w:hint="eastAsia" w:asciiTheme="minorEastAsia" w:hAnsiTheme="minorEastAsia" w:eastAsiaTheme="minorEastAsia" w:cstheme="minorEastAsia"/>
                <w:kern w:val="2"/>
                <w:sz w:val="21"/>
                <w:szCs w:val="24"/>
                <w:highlight w:val="none"/>
                <w:lang w:val="en-US" w:eastAsia="zh-CN" w:bidi="ar-SA"/>
              </w:rPr>
              <w:t>1、自201</w:t>
            </w:r>
            <w:r>
              <w:rPr>
                <w:rFonts w:hint="eastAsia" w:asciiTheme="minorEastAsia" w:hAnsiTheme="minorEastAsia" w:cstheme="minorEastAsia"/>
                <w:kern w:val="2"/>
                <w:sz w:val="21"/>
                <w:szCs w:val="24"/>
                <w:highlight w:val="none"/>
                <w:lang w:val="en-US" w:eastAsia="zh-CN" w:bidi="ar-SA"/>
              </w:rPr>
              <w:t>9</w:t>
            </w:r>
            <w:r>
              <w:rPr>
                <w:rFonts w:hint="eastAsia" w:asciiTheme="minorEastAsia" w:hAnsiTheme="minorEastAsia" w:eastAsiaTheme="minorEastAsia" w:cstheme="minorEastAsia"/>
                <w:kern w:val="2"/>
                <w:sz w:val="21"/>
                <w:szCs w:val="24"/>
                <w:highlight w:val="none"/>
                <w:lang w:val="en-US" w:eastAsia="zh-CN" w:bidi="ar-SA"/>
              </w:rPr>
              <w:t>年1月1日起（以合同签订时间为准），非医疗行业</w:t>
            </w:r>
            <w:r>
              <w:rPr>
                <w:rFonts w:hint="eastAsia" w:asciiTheme="minorEastAsia" w:hAnsiTheme="minorEastAsia" w:cstheme="minorEastAsia"/>
                <w:kern w:val="2"/>
                <w:sz w:val="21"/>
                <w:szCs w:val="24"/>
                <w:highlight w:val="none"/>
                <w:lang w:val="en-US" w:eastAsia="zh-CN" w:bidi="ar-SA"/>
              </w:rPr>
              <w:t>数据库</w:t>
            </w:r>
            <w:r>
              <w:rPr>
                <w:rFonts w:hint="eastAsia" w:asciiTheme="minorEastAsia" w:hAnsiTheme="minorEastAsia" w:eastAsiaTheme="minorEastAsia" w:cstheme="minorEastAsia"/>
                <w:kern w:val="2"/>
                <w:sz w:val="21"/>
                <w:szCs w:val="24"/>
                <w:highlight w:val="none"/>
                <w:lang w:val="en-US" w:eastAsia="zh-CN" w:bidi="ar-SA"/>
              </w:rPr>
              <w:t>、操作系统等维保服务案例，每提供一个案例得2分；</w:t>
            </w:r>
          </w:p>
          <w:p>
            <w:pPr>
              <w:keepNext w:val="0"/>
              <w:keepLines w:val="0"/>
              <w:pageBreakBefore w:val="0"/>
              <w:kinsoku/>
              <w:wordWrap/>
              <w:overflowPunct/>
              <w:topLinePunct w:val="0"/>
              <w:autoSpaceDE/>
              <w:autoSpaceDN/>
              <w:bidi w:val="0"/>
              <w:adjustRightInd w:val="0"/>
              <w:snapToGrid w:val="0"/>
              <w:spacing w:line="240" w:lineRule="auto"/>
              <w:rPr>
                <w:rFonts w:hint="eastAsia" w:asciiTheme="minorEastAsia" w:hAnsiTheme="minorEastAsia" w:eastAsiaTheme="minorEastAsia" w:cstheme="minorEastAsia"/>
                <w:kern w:val="2"/>
                <w:sz w:val="21"/>
                <w:szCs w:val="24"/>
                <w:highlight w:val="none"/>
                <w:lang w:val="en-US" w:eastAsia="zh-CN" w:bidi="ar-SA"/>
              </w:rPr>
            </w:pPr>
            <w:r>
              <w:rPr>
                <w:rFonts w:hint="eastAsia" w:asciiTheme="minorEastAsia" w:hAnsiTheme="minorEastAsia" w:eastAsiaTheme="minorEastAsia" w:cstheme="minorEastAsia"/>
                <w:kern w:val="2"/>
                <w:sz w:val="21"/>
                <w:szCs w:val="24"/>
                <w:highlight w:val="none"/>
                <w:lang w:val="en-US" w:eastAsia="zh-CN" w:bidi="ar-SA"/>
              </w:rPr>
              <w:t>2、自201</w:t>
            </w:r>
            <w:r>
              <w:rPr>
                <w:rFonts w:hint="eastAsia" w:asciiTheme="minorEastAsia" w:hAnsiTheme="minorEastAsia" w:cstheme="minorEastAsia"/>
                <w:kern w:val="2"/>
                <w:sz w:val="21"/>
                <w:szCs w:val="24"/>
                <w:highlight w:val="none"/>
                <w:lang w:val="en-US" w:eastAsia="zh-CN" w:bidi="ar-SA"/>
              </w:rPr>
              <w:t>9</w:t>
            </w:r>
            <w:r>
              <w:rPr>
                <w:rFonts w:hint="eastAsia" w:asciiTheme="minorEastAsia" w:hAnsiTheme="minorEastAsia" w:eastAsiaTheme="minorEastAsia" w:cstheme="minorEastAsia"/>
                <w:kern w:val="2"/>
                <w:sz w:val="21"/>
                <w:szCs w:val="24"/>
                <w:highlight w:val="none"/>
                <w:lang w:val="en-US" w:eastAsia="zh-CN" w:bidi="ar-SA"/>
              </w:rPr>
              <w:t>年1月1日起（以合同签订时间为准），医疗行业</w:t>
            </w:r>
            <w:r>
              <w:rPr>
                <w:rFonts w:hint="eastAsia" w:asciiTheme="minorEastAsia" w:hAnsiTheme="minorEastAsia" w:cstheme="minorEastAsia"/>
                <w:kern w:val="2"/>
                <w:sz w:val="21"/>
                <w:szCs w:val="24"/>
                <w:highlight w:val="none"/>
                <w:lang w:val="en-US" w:eastAsia="zh-CN" w:bidi="ar-SA"/>
              </w:rPr>
              <w:t>数据库</w:t>
            </w:r>
            <w:r>
              <w:rPr>
                <w:rFonts w:hint="eastAsia" w:asciiTheme="minorEastAsia" w:hAnsiTheme="minorEastAsia" w:eastAsiaTheme="minorEastAsia" w:cstheme="minorEastAsia"/>
                <w:kern w:val="2"/>
                <w:sz w:val="21"/>
                <w:szCs w:val="24"/>
                <w:highlight w:val="none"/>
                <w:lang w:val="en-US" w:eastAsia="zh-CN" w:bidi="ar-SA"/>
              </w:rPr>
              <w:t>、操作系统等维保服务案例，每提供一个案例得4分；</w:t>
            </w:r>
          </w:p>
          <w:p>
            <w:pPr>
              <w:keepNext w:val="0"/>
              <w:keepLines w:val="0"/>
              <w:pageBreakBefore w:val="0"/>
              <w:kinsoku/>
              <w:wordWrap/>
              <w:overflowPunct/>
              <w:topLinePunct w:val="0"/>
              <w:autoSpaceDE/>
              <w:autoSpaceDN/>
              <w:bidi w:val="0"/>
              <w:adjustRightInd w:val="0"/>
              <w:snapToGrid w:val="0"/>
              <w:spacing w:line="240" w:lineRule="auto"/>
              <w:rPr>
                <w:rFonts w:hint="eastAsia" w:asciiTheme="minorEastAsia" w:hAnsiTheme="minorEastAsia" w:eastAsiaTheme="minorEastAsia" w:cstheme="minorEastAsia"/>
                <w:kern w:val="2"/>
                <w:sz w:val="21"/>
                <w:szCs w:val="24"/>
                <w:highlight w:val="none"/>
                <w:lang w:val="en-US" w:eastAsia="zh-CN" w:bidi="ar-SA"/>
              </w:rPr>
            </w:pPr>
            <w:r>
              <w:rPr>
                <w:rFonts w:hint="eastAsia" w:asciiTheme="minorEastAsia" w:hAnsiTheme="minorEastAsia" w:eastAsiaTheme="minorEastAsia" w:cstheme="minorEastAsia"/>
                <w:kern w:val="2"/>
                <w:sz w:val="21"/>
                <w:szCs w:val="24"/>
                <w:highlight w:val="none"/>
                <w:lang w:val="en-US" w:eastAsia="zh-CN" w:bidi="ar-SA"/>
              </w:rPr>
              <w:t>本项最高得16分，不提供得0分，须提供合同复印件</w:t>
            </w:r>
            <w:r>
              <w:rPr>
                <w:rFonts w:hint="eastAsia" w:asciiTheme="minorEastAsia" w:hAnsiTheme="minorEastAsia" w:cstheme="minorEastAsia"/>
                <w:kern w:val="2"/>
                <w:sz w:val="21"/>
                <w:szCs w:val="24"/>
                <w:highlight w:val="none"/>
                <w:lang w:val="en-US" w:eastAsia="zh-CN" w:bidi="ar-SA"/>
              </w:rPr>
              <w:t>并</w:t>
            </w:r>
            <w:r>
              <w:rPr>
                <w:rFonts w:hint="eastAsia" w:asciiTheme="minorEastAsia" w:hAnsiTheme="minorEastAsia" w:eastAsiaTheme="minorEastAsia" w:cstheme="minorEastAsia"/>
                <w:kern w:val="2"/>
                <w:sz w:val="21"/>
                <w:szCs w:val="24"/>
                <w:highlight w:val="none"/>
                <w:lang w:val="en-US" w:eastAsia="zh-CN" w:bidi="ar-SA"/>
              </w:rPr>
              <w:t>加盖公章。</w:t>
            </w:r>
          </w:p>
        </w:tc>
        <w:tc>
          <w:tcPr>
            <w:tcW w:w="721"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6"/>
                <w:szCs w:val="21"/>
                <w:highlight w:val="none"/>
                <w:lang w:val="en-US" w:eastAsia="zh-CN"/>
                <w14:textFill>
                  <w14:solidFill>
                    <w14:schemeClr w14:val="tx1"/>
                  </w14:solidFill>
                </w14:textFill>
              </w:rPr>
              <w:t>16分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cantSplit/>
          <w:trHeight w:val="0" w:hRule="atLeast"/>
        </w:trPr>
        <w:tc>
          <w:tcPr>
            <w:tcW w:w="661" w:type="dxa"/>
            <w:vMerge w:val="continue"/>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szCs w:val="21"/>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维保响应时间及服务承诺</w:t>
            </w:r>
          </w:p>
        </w:tc>
        <w:tc>
          <w:tcPr>
            <w:tcW w:w="67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2"/>
                <w:sz w:val="21"/>
                <w:szCs w:val="24"/>
                <w:highlight w:val="none"/>
                <w:lang w:val="en-US" w:eastAsia="zh-CN" w:bidi="ar-SA"/>
              </w:rPr>
              <w:t>根据供应商所承诺的维保响应时间及服务承诺进行评分，综合情况优得</w:t>
            </w:r>
            <w:r>
              <w:rPr>
                <w:rFonts w:hint="eastAsia" w:asciiTheme="minorEastAsia" w:hAnsiTheme="minorEastAsia" w:cstheme="minorEastAsia"/>
                <w:kern w:val="2"/>
                <w:sz w:val="21"/>
                <w:szCs w:val="24"/>
                <w:highlight w:val="none"/>
                <w:lang w:val="en-US" w:eastAsia="zh-CN" w:bidi="ar-SA"/>
              </w:rPr>
              <w:t>3</w:t>
            </w:r>
            <w:r>
              <w:rPr>
                <w:rFonts w:hint="eastAsia" w:asciiTheme="minorEastAsia" w:hAnsiTheme="minorEastAsia" w:eastAsiaTheme="minorEastAsia" w:cstheme="minorEastAsia"/>
                <w:kern w:val="2"/>
                <w:sz w:val="21"/>
                <w:szCs w:val="24"/>
                <w:highlight w:val="none"/>
                <w:lang w:val="en-US" w:eastAsia="zh-CN" w:bidi="ar-SA"/>
              </w:rPr>
              <w:t>分，较好得</w:t>
            </w:r>
            <w:r>
              <w:rPr>
                <w:rFonts w:hint="eastAsia" w:asciiTheme="minorEastAsia" w:hAnsiTheme="minorEastAsia" w:cstheme="minorEastAsia"/>
                <w:kern w:val="2"/>
                <w:sz w:val="21"/>
                <w:szCs w:val="24"/>
                <w:highlight w:val="none"/>
                <w:lang w:val="en-US" w:eastAsia="zh-CN" w:bidi="ar-SA"/>
              </w:rPr>
              <w:t>2</w:t>
            </w:r>
            <w:r>
              <w:rPr>
                <w:rFonts w:hint="eastAsia" w:asciiTheme="minorEastAsia" w:hAnsiTheme="minorEastAsia" w:eastAsiaTheme="minorEastAsia" w:cstheme="minorEastAsia"/>
                <w:kern w:val="2"/>
                <w:sz w:val="21"/>
                <w:szCs w:val="24"/>
                <w:highlight w:val="none"/>
                <w:lang w:val="en-US" w:eastAsia="zh-CN" w:bidi="ar-SA"/>
              </w:rPr>
              <w:t>分，一般得1分，其他不得分。</w:t>
            </w:r>
          </w:p>
        </w:tc>
        <w:tc>
          <w:tcPr>
            <w:tcW w:w="721"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heme="minorEastAsia" w:hAnsiTheme="minorEastAsia" w:eastAsiaTheme="minorEastAsia" w:cstheme="minorEastAsia"/>
                <w:color w:val="000000" w:themeColor="text1"/>
                <w:spacing w:val="-6"/>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6"/>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6"/>
                <w:szCs w:val="21"/>
                <w:highlight w:val="none"/>
                <w:lang w:val="en-US" w:eastAsia="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cantSplit/>
          <w:trHeight w:val="0" w:hRule="atLeast"/>
        </w:trPr>
        <w:tc>
          <w:tcPr>
            <w:tcW w:w="661" w:type="dxa"/>
            <w:vMerge w:val="continue"/>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szCs w:val="21"/>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6"/>
                <w:kern w:val="0"/>
                <w:szCs w:val="21"/>
                <w:lang w:eastAsia="zh-CN"/>
                <w14:textFill>
                  <w14:solidFill>
                    <w14:schemeClr w14:val="tx1"/>
                  </w14:solidFill>
                </w14:textFill>
              </w:rPr>
              <w:t>其他服务</w:t>
            </w:r>
          </w:p>
        </w:tc>
        <w:tc>
          <w:tcPr>
            <w:tcW w:w="6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供应商在满足本项目整体建设目标和建设内容的基础上，承诺提供其他合理服务或优惠方案的，根据方案的合理性、实用性等综合判断，合理、实用性强的，得</w:t>
            </w:r>
            <w:r>
              <w:rPr>
                <w:rFonts w:hint="eastAsia" w:asciiTheme="minorEastAsia" w:hAnsiTheme="minorEastAsia" w:cstheme="minorEastAsia"/>
                <w:highlight w:val="none"/>
                <w:lang w:val="en-US" w:eastAsia="zh-CN"/>
              </w:rPr>
              <w:t>4</w:t>
            </w:r>
            <w:r>
              <w:rPr>
                <w:rFonts w:hint="eastAsia" w:asciiTheme="minorEastAsia" w:hAnsiTheme="minorEastAsia" w:eastAsiaTheme="minorEastAsia" w:cstheme="minorEastAsia"/>
                <w:highlight w:val="none"/>
                <w:lang w:eastAsia="zh-CN"/>
              </w:rPr>
              <w:t>分；合理、可行的，得</w:t>
            </w: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lang w:eastAsia="zh-CN"/>
              </w:rPr>
              <w:t>分；基本可行的，得</w:t>
            </w: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lang w:eastAsia="zh-CN"/>
              </w:rPr>
              <w:t>分；其他不得分。</w:t>
            </w:r>
          </w:p>
        </w:tc>
        <w:tc>
          <w:tcPr>
            <w:tcW w:w="721"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heme="minorEastAsia" w:hAnsiTheme="minorEastAsia" w:eastAsiaTheme="minorEastAsia" w:cstheme="minorEastAsia"/>
                <w:color w:val="000000" w:themeColor="text1"/>
                <w:spacing w:val="-6"/>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6"/>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6"/>
                <w:szCs w:val="21"/>
                <w:highlight w:val="none"/>
                <w:lang w:val="en-US" w:eastAsia="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cantSplit/>
          <w:trHeight w:val="0" w:hRule="atLeast"/>
        </w:trPr>
        <w:tc>
          <w:tcPr>
            <w:tcW w:w="661" w:type="dxa"/>
            <w:vMerge w:val="restart"/>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14:textFill>
                  <w14:solidFill>
                    <w14:schemeClr w14:val="tx1"/>
                  </w14:solidFill>
                </w14:textFill>
              </w:rPr>
              <w:t>技术服务</w:t>
            </w:r>
            <w:r>
              <w:rPr>
                <w:rFonts w:hint="eastAsia" w:asciiTheme="minorEastAsia" w:hAnsiTheme="minorEastAsia" w:eastAsiaTheme="minorEastAsia" w:cstheme="minorEastAsia"/>
                <w:color w:val="000000" w:themeColor="text1"/>
                <w:spacing w:val="-6"/>
                <w:szCs w:val="21"/>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pacing w:val="-6"/>
                <w:szCs w:val="21"/>
                <w14:textFill>
                  <w14:solidFill>
                    <w14:schemeClr w14:val="tx1"/>
                  </w14:solidFill>
                </w14:textFill>
              </w:rPr>
              <w:t>分</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pacing w:val="-6"/>
                <w:kern w:val="2"/>
                <w:sz w:val="21"/>
                <w:szCs w:val="21"/>
                <w:lang w:val="en-US" w:eastAsia="zh-CN" w:bidi="ar-SA"/>
              </w:rPr>
            </w:pPr>
            <w:r>
              <w:rPr>
                <w:rFonts w:hint="eastAsia" w:asciiTheme="minorEastAsia" w:hAnsiTheme="minorEastAsia" w:eastAsiaTheme="minorEastAsia" w:cstheme="minorEastAsia"/>
                <w:spacing w:val="-6"/>
                <w:kern w:val="2"/>
                <w:sz w:val="21"/>
                <w:szCs w:val="21"/>
                <w:lang w:val="en-US" w:eastAsia="zh-CN" w:bidi="ar-SA"/>
              </w:rPr>
              <w:t>维护方案</w:t>
            </w:r>
          </w:p>
        </w:tc>
        <w:tc>
          <w:tcPr>
            <w:tcW w:w="6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供应商根据项目技术要求制定切实可行的方案，对供应商提供的完整、合理的维保服务（服务内容应包括但不限于电话咨询服务、电话支持服务、远程技术支持(远程接入)服务、现场技术支持服务、系统软件版本管理和软件升级、硬件更换维修服务、现场培训服务、资料共享服务、紧急故障排除服务、重要通讯保障服务、增值服务等）进行评分：</w:t>
            </w:r>
          </w:p>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供应商能够全面理解项目需求，根据内容完整，服务方案充分满足项目需求，有较强的针对性，方案总体考虑周全，得15分；</w:t>
            </w:r>
          </w:p>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供应商基本理解项目需求，服务方案基本满足项目需求，有一定的针对性，方案总体考虑有一定欠缺，得10分；</w:t>
            </w:r>
          </w:p>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供应商对本项目需求理解一般，服务方案基本满足项目需求，针对性一般，内容不全面、不完整，得5分；</w:t>
            </w:r>
          </w:p>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其他情况不得分。</w:t>
            </w:r>
          </w:p>
        </w:tc>
        <w:tc>
          <w:tcPr>
            <w:tcW w:w="721"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6"/>
                <w:szCs w:val="21"/>
                <w:lang w:val="en-US" w:eastAsia="zh-CN"/>
                <w14:textFill>
                  <w14:solidFill>
                    <w14:schemeClr w14:val="tx1"/>
                  </w14:solidFill>
                </w14:textFill>
              </w:rPr>
              <w:t>15分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cantSplit/>
          <w:trHeight w:val="0" w:hRule="atLeast"/>
        </w:trPr>
        <w:tc>
          <w:tcPr>
            <w:tcW w:w="661" w:type="dxa"/>
            <w:vMerge w:val="continue"/>
            <w:tcBorders>
              <w:top w:val="single" w:color="auto" w:sz="4" w:space="0"/>
              <w:bottom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szCs w:val="21"/>
                <w14:textFill>
                  <w14:solidFill>
                    <w14:schemeClr w14:val="tx1"/>
                  </w14:solidFill>
                </w14:textFill>
              </w:rPr>
            </w:pPr>
          </w:p>
        </w:tc>
        <w:tc>
          <w:tcPr>
            <w:tcW w:w="1110"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pacing w:val="-6"/>
                <w:kern w:val="2"/>
                <w:sz w:val="21"/>
                <w:szCs w:val="21"/>
                <w:lang w:val="en-US" w:eastAsia="zh-CN" w:bidi="ar-SA"/>
              </w:rPr>
            </w:pPr>
            <w:r>
              <w:rPr>
                <w:rFonts w:hint="eastAsia" w:asciiTheme="minorEastAsia" w:hAnsiTheme="minorEastAsia" w:cstheme="minorEastAsia"/>
                <w:spacing w:val="-6"/>
                <w:szCs w:val="21"/>
                <w:lang w:eastAsia="zh-CN"/>
              </w:rPr>
              <w:t>一线人员</w:t>
            </w:r>
          </w:p>
        </w:tc>
        <w:tc>
          <w:tcPr>
            <w:tcW w:w="6796"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numPr>
                <w:ilvl w:val="0"/>
                <w:numId w:val="17"/>
              </w:numPr>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公司技术团队针对本项目配备不少于</w:t>
            </w:r>
            <w:r>
              <w:rPr>
                <w:rFonts w:hint="eastAsia" w:asciiTheme="minorEastAsia" w:hAnsiTheme="minorEastAsia" w:cstheme="minorEastAsia"/>
                <w:color w:val="000000"/>
                <w:kern w:val="2"/>
                <w:sz w:val="21"/>
                <w:szCs w:val="21"/>
                <w:lang w:val="en-US" w:eastAsia="zh-CN" w:bidi="ar-SA"/>
              </w:rPr>
              <w:t>2</w:t>
            </w:r>
            <w:r>
              <w:rPr>
                <w:rFonts w:hint="eastAsia" w:asciiTheme="minorEastAsia" w:hAnsiTheme="minorEastAsia" w:eastAsiaTheme="minorEastAsia" w:cstheme="minorEastAsia"/>
                <w:color w:val="000000"/>
                <w:kern w:val="2"/>
                <w:sz w:val="21"/>
                <w:szCs w:val="21"/>
                <w:lang w:val="en-US" w:eastAsia="zh-CN" w:bidi="ar-SA"/>
              </w:rPr>
              <w:t>名</w:t>
            </w:r>
            <w:r>
              <w:rPr>
                <w:rFonts w:hint="eastAsia" w:asciiTheme="minorEastAsia" w:hAnsiTheme="minorEastAsia" w:cstheme="minorEastAsia"/>
                <w:color w:val="000000"/>
                <w:kern w:val="2"/>
                <w:sz w:val="21"/>
                <w:szCs w:val="21"/>
                <w:lang w:val="en-US" w:eastAsia="zh-CN" w:bidi="ar-SA"/>
              </w:rPr>
              <w:t>一线工程师，至少有一名工程师工作年限超过5年，且具备Oracle OCP和Red Hat认证证书</w:t>
            </w:r>
            <w:r>
              <w:rPr>
                <w:rFonts w:hint="eastAsia" w:asciiTheme="minorEastAsia" w:hAnsiTheme="minorEastAsia" w:eastAsiaTheme="minorEastAsia" w:cstheme="minorEastAsia"/>
                <w:color w:val="000000"/>
                <w:kern w:val="2"/>
                <w:sz w:val="21"/>
                <w:szCs w:val="21"/>
                <w:lang w:val="en-US" w:eastAsia="zh-CN" w:bidi="ar-SA"/>
              </w:rPr>
              <w:t>（提供相关证书复印件加盖公章、原件备查），完全满足得</w:t>
            </w:r>
            <w:r>
              <w:rPr>
                <w:rFonts w:hint="eastAsia" w:asciiTheme="minorEastAsia" w:hAnsiTheme="minorEastAsia" w:cstheme="minorEastAsia"/>
                <w:color w:val="000000"/>
                <w:kern w:val="2"/>
                <w:sz w:val="21"/>
                <w:szCs w:val="21"/>
                <w:lang w:val="en-US" w:eastAsia="zh-CN" w:bidi="ar-SA"/>
              </w:rPr>
              <w:t>9</w:t>
            </w:r>
            <w:r>
              <w:rPr>
                <w:rFonts w:hint="eastAsia" w:asciiTheme="minorEastAsia" w:hAnsiTheme="minorEastAsia" w:eastAsiaTheme="minorEastAsia" w:cstheme="minorEastAsia"/>
                <w:color w:val="000000"/>
                <w:kern w:val="2"/>
                <w:sz w:val="21"/>
                <w:szCs w:val="21"/>
                <w:lang w:val="en-US" w:eastAsia="zh-CN" w:bidi="ar-SA"/>
              </w:rPr>
              <w:t>分，其他不得分；</w:t>
            </w:r>
          </w:p>
          <w:p>
            <w:pPr>
              <w:pStyle w:val="23"/>
              <w:numPr>
                <w:ilvl w:val="0"/>
                <w:numId w:val="17"/>
              </w:numP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一线人员具备具备其他技能认证证书的，提供证书复印件，每提供一个证书得1分，本项最高得6分，不提供得0分。</w:t>
            </w:r>
          </w:p>
        </w:tc>
        <w:tc>
          <w:tcPr>
            <w:tcW w:w="721" w:type="dxa"/>
            <w:tcBorders>
              <w:top w:val="single" w:color="auto" w:sz="4" w:space="0"/>
              <w:left w:val="single" w:color="auto" w:sz="4" w:space="0"/>
              <w:bottom w:val="single" w:color="auto" w:sz="12"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heme="minorEastAsia" w:hAnsiTheme="minorEastAsia" w:eastAsiaTheme="minorEastAsia" w:cstheme="minorEastAsia"/>
                <w:color w:val="000000" w:themeColor="text1"/>
                <w:spacing w:val="-6"/>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pacing w:val="-6"/>
                <w:szCs w:val="21"/>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pacing w:val="-6"/>
                <w:szCs w:val="21"/>
                <w:lang w:val="en-US" w:eastAsia="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cantSplit/>
          <w:trHeight w:val="0" w:hRule="atLeast"/>
        </w:trPr>
        <w:tc>
          <w:tcPr>
            <w:tcW w:w="661" w:type="dxa"/>
            <w:vMerge w:val="continue"/>
            <w:tcBorders>
              <w:top w:val="single" w:color="auto" w:sz="4" w:space="0"/>
              <w:bottom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szCs w:val="21"/>
                <w14:textFill>
                  <w14:solidFill>
                    <w14:schemeClr w14:val="tx1"/>
                  </w14:solidFill>
                </w14:textFill>
              </w:rPr>
            </w:pPr>
          </w:p>
        </w:tc>
        <w:tc>
          <w:tcPr>
            <w:tcW w:w="1110"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cstheme="minorEastAsia"/>
                <w:spacing w:val="-6"/>
                <w:szCs w:val="21"/>
                <w:lang w:eastAsia="zh-CN"/>
              </w:rPr>
            </w:pPr>
            <w:r>
              <w:rPr>
                <w:rFonts w:hint="eastAsia" w:asciiTheme="minorEastAsia" w:hAnsiTheme="minorEastAsia" w:cstheme="minorEastAsia"/>
                <w:spacing w:val="-6"/>
                <w:szCs w:val="21"/>
                <w:lang w:eastAsia="zh-CN"/>
              </w:rPr>
              <w:t>二线人员</w:t>
            </w:r>
          </w:p>
        </w:tc>
        <w:tc>
          <w:tcPr>
            <w:tcW w:w="6796"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在湖北省有相对稳定的</w:t>
            </w:r>
            <w:r>
              <w:rPr>
                <w:rFonts w:hint="eastAsia" w:asciiTheme="minorEastAsia" w:hAnsiTheme="minorEastAsia" w:cstheme="minorEastAsia"/>
                <w:color w:val="000000"/>
                <w:kern w:val="2"/>
                <w:sz w:val="21"/>
                <w:szCs w:val="21"/>
                <w:lang w:val="en-US" w:eastAsia="zh-CN" w:bidi="ar-SA"/>
              </w:rPr>
              <w:t>二线</w:t>
            </w:r>
            <w:r>
              <w:rPr>
                <w:rFonts w:hint="eastAsia" w:asciiTheme="minorEastAsia" w:hAnsiTheme="minorEastAsia" w:eastAsiaTheme="minorEastAsia" w:cstheme="minorEastAsia"/>
                <w:color w:val="000000"/>
                <w:kern w:val="2"/>
                <w:sz w:val="21"/>
                <w:szCs w:val="21"/>
                <w:lang w:val="en-US" w:eastAsia="zh-CN" w:bidi="ar-SA"/>
              </w:rPr>
              <w:t>服务团队，</w:t>
            </w:r>
            <w:r>
              <w:rPr>
                <w:rFonts w:hint="eastAsia" w:asciiTheme="minorEastAsia" w:hAnsiTheme="minorEastAsia" w:cstheme="minorEastAsia"/>
                <w:color w:val="000000"/>
                <w:kern w:val="2"/>
                <w:sz w:val="21"/>
                <w:szCs w:val="21"/>
                <w:lang w:val="en-US" w:eastAsia="zh-CN" w:bidi="ar-SA"/>
              </w:rPr>
              <w:t>其中</w:t>
            </w:r>
            <w:r>
              <w:rPr>
                <w:rFonts w:hint="eastAsia" w:asciiTheme="minorEastAsia" w:hAnsiTheme="minorEastAsia" w:eastAsiaTheme="minorEastAsia" w:cstheme="minorEastAsia"/>
                <w:color w:val="000000"/>
                <w:kern w:val="2"/>
                <w:sz w:val="21"/>
                <w:szCs w:val="21"/>
                <w:lang w:val="en-US" w:eastAsia="zh-CN" w:bidi="ar-SA"/>
              </w:rPr>
              <w:t>具有数据库</w:t>
            </w:r>
            <w:r>
              <w:rPr>
                <w:rFonts w:hint="eastAsia" w:asciiTheme="minorEastAsia" w:hAnsiTheme="minorEastAsia" w:cstheme="minorEastAsia"/>
                <w:color w:val="000000"/>
                <w:kern w:val="2"/>
                <w:sz w:val="21"/>
                <w:szCs w:val="21"/>
                <w:lang w:val="en-US" w:eastAsia="zh-CN" w:bidi="ar-SA"/>
              </w:rPr>
              <w:t>（OCP、OCM）</w:t>
            </w:r>
            <w:r>
              <w:rPr>
                <w:rFonts w:hint="eastAsia" w:asciiTheme="minorEastAsia" w:hAnsiTheme="minorEastAsia" w:eastAsiaTheme="minorEastAsia" w:cstheme="minorEastAsia"/>
                <w:color w:val="000000"/>
                <w:kern w:val="2"/>
                <w:sz w:val="21"/>
                <w:szCs w:val="21"/>
                <w:lang w:val="en-US" w:eastAsia="zh-CN" w:bidi="ar-SA"/>
              </w:rPr>
              <w:t>、服务器存储、Vmware、操作系统、网络等认证证书的工程师（提供技术认证证书文件复印件加盖公章、原件备查），每提供一个证书得</w:t>
            </w:r>
            <w:r>
              <w:rPr>
                <w:rFonts w:hint="eastAsia" w:asciiTheme="minorEastAsia" w:hAnsiTheme="minorEastAsia" w:cstheme="minorEastAsia"/>
                <w:color w:val="000000"/>
                <w:kern w:val="2"/>
                <w:sz w:val="21"/>
                <w:szCs w:val="21"/>
                <w:lang w:val="en-US" w:eastAsia="zh-CN" w:bidi="ar-SA"/>
              </w:rPr>
              <w:t>0.5</w:t>
            </w:r>
            <w:r>
              <w:rPr>
                <w:rFonts w:hint="eastAsia" w:asciiTheme="minorEastAsia" w:hAnsiTheme="minorEastAsia" w:eastAsiaTheme="minorEastAsia" w:cstheme="minorEastAsia"/>
                <w:color w:val="000000"/>
                <w:kern w:val="2"/>
                <w:sz w:val="21"/>
                <w:szCs w:val="21"/>
                <w:lang w:val="en-US" w:eastAsia="zh-CN" w:bidi="ar-SA"/>
              </w:rPr>
              <w:t>分，本项最高得</w:t>
            </w:r>
            <w:r>
              <w:rPr>
                <w:rFonts w:hint="eastAsia" w:asciiTheme="minorEastAsia" w:hAnsiTheme="minorEastAsia" w:cstheme="minorEastAsia"/>
                <w:color w:val="000000"/>
                <w:kern w:val="2"/>
                <w:sz w:val="21"/>
                <w:szCs w:val="21"/>
                <w:lang w:val="en-US" w:eastAsia="zh-CN" w:bidi="ar-SA"/>
              </w:rPr>
              <w:t>10</w:t>
            </w:r>
            <w:r>
              <w:rPr>
                <w:rFonts w:hint="eastAsia" w:asciiTheme="minorEastAsia" w:hAnsiTheme="minorEastAsia" w:eastAsiaTheme="minorEastAsia" w:cstheme="minorEastAsia"/>
                <w:color w:val="000000"/>
                <w:kern w:val="2"/>
                <w:sz w:val="21"/>
                <w:szCs w:val="21"/>
                <w:lang w:val="en-US" w:eastAsia="zh-CN" w:bidi="ar-SA"/>
              </w:rPr>
              <w:t>分</w:t>
            </w:r>
            <w:r>
              <w:rPr>
                <w:rFonts w:hint="eastAsia" w:asciiTheme="minorEastAsia" w:hAnsiTheme="minorEastAsia" w:cstheme="minorEastAsia"/>
                <w:color w:val="000000"/>
                <w:kern w:val="2"/>
                <w:sz w:val="21"/>
                <w:szCs w:val="21"/>
                <w:lang w:val="en-US" w:eastAsia="zh-CN" w:bidi="ar-SA"/>
              </w:rPr>
              <w:t>，不提供得0分。</w:t>
            </w:r>
          </w:p>
        </w:tc>
        <w:tc>
          <w:tcPr>
            <w:tcW w:w="721" w:type="dxa"/>
            <w:tcBorders>
              <w:top w:val="single" w:color="auto" w:sz="4" w:space="0"/>
              <w:left w:val="single" w:color="auto" w:sz="4" w:space="0"/>
              <w:bottom w:val="single" w:color="auto" w:sz="12"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heme="minorEastAsia" w:hAnsiTheme="minorEastAsia" w:eastAsiaTheme="minorEastAsia" w:cstheme="minorEastAsia"/>
                <w:color w:val="000000" w:themeColor="text1"/>
                <w:spacing w:val="-6"/>
                <w:szCs w:val="21"/>
                <w:lang w:val="en-US" w:eastAsia="zh-CN"/>
                <w14:textFill>
                  <w14:solidFill>
                    <w14:schemeClr w14:val="tx1"/>
                  </w14:solidFill>
                </w14:textFill>
              </w:rPr>
            </w:pPr>
            <w:r>
              <w:rPr>
                <w:rFonts w:hint="eastAsia" w:asciiTheme="minorEastAsia" w:hAnsiTheme="minorEastAsia" w:cstheme="minorEastAsia"/>
                <w:color w:val="000000" w:themeColor="text1"/>
                <w:spacing w:val="-6"/>
                <w:szCs w:val="21"/>
                <w:lang w:val="en-US" w:eastAsia="zh-CN"/>
                <w14:textFill>
                  <w14:solidFill>
                    <w14:schemeClr w14:val="tx1"/>
                  </w14:solidFill>
                </w14:textFill>
              </w:rPr>
              <w:t>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cantSplit/>
          <w:trHeight w:val="2534" w:hRule="atLeast"/>
        </w:trPr>
        <w:tc>
          <w:tcPr>
            <w:tcW w:w="661" w:type="dxa"/>
            <w:vMerge w:val="continue"/>
            <w:tcBorders>
              <w:top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szCs w:val="21"/>
                <w14:textFill>
                  <w14:solidFill>
                    <w14:schemeClr w14:val="tx1"/>
                  </w14:solidFill>
                </w14:textFill>
              </w:rPr>
            </w:pPr>
          </w:p>
        </w:tc>
        <w:tc>
          <w:tcPr>
            <w:tcW w:w="1110" w:type="dxa"/>
            <w:tcBorders>
              <w:top w:val="single" w:color="auto" w:sz="12"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pacing w:val="-6"/>
                <w:kern w:val="2"/>
                <w:sz w:val="21"/>
                <w:szCs w:val="21"/>
                <w:lang w:val="en-US" w:eastAsia="zh-CN" w:bidi="ar-SA"/>
              </w:rPr>
            </w:pPr>
            <w:r>
              <w:rPr>
                <w:rFonts w:hint="eastAsia" w:asciiTheme="minorEastAsia" w:hAnsiTheme="minorEastAsia" w:eastAsiaTheme="minorEastAsia" w:cstheme="minorEastAsia"/>
                <w:spacing w:val="-6"/>
                <w:kern w:val="2"/>
                <w:sz w:val="21"/>
                <w:szCs w:val="21"/>
                <w:lang w:val="en-US" w:eastAsia="zh-CN" w:bidi="ar-SA"/>
              </w:rPr>
              <w:t>应急方案</w:t>
            </w:r>
          </w:p>
        </w:tc>
        <w:tc>
          <w:tcPr>
            <w:tcW w:w="6796" w:type="dxa"/>
            <w:tcBorders>
              <w:top w:val="single" w:color="auto" w:sz="12"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供应商依据本项目技术要求提供应急方案，对供应商提供的应急预案，综合应急预案，应急恢复方案进行评分：</w:t>
            </w:r>
          </w:p>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供应商能够全面理解项目需求，应急方案充分满足项目需求，有较强的针对性，方案总体考虑周全，得15分；</w:t>
            </w:r>
          </w:p>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供应商基本理解项目需求，服应急方案基本满足项目需求，有一定的针对性，方案总体考虑有一定欠缺，得10分；</w:t>
            </w:r>
          </w:p>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供应商对本项目需求理解一般，应急方案基本满足项目需求，针对性一般，内容不全面、不完整，得5分；</w:t>
            </w:r>
          </w:p>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其他情况不得分。</w:t>
            </w:r>
          </w:p>
        </w:tc>
        <w:tc>
          <w:tcPr>
            <w:tcW w:w="721" w:type="dxa"/>
            <w:tcBorders>
              <w:top w:val="single" w:color="auto" w:sz="12"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6"/>
                <w:szCs w:val="21"/>
                <w:lang w:val="en-US" w:eastAsia="zh-CN"/>
                <w14:textFill>
                  <w14:solidFill>
                    <w14:schemeClr w14:val="tx1"/>
                  </w14:solidFill>
                </w14:textFill>
              </w:rPr>
              <w:t>15分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cantSplit/>
          <w:trHeight w:val="0" w:hRule="atLeast"/>
        </w:trPr>
        <w:tc>
          <w:tcPr>
            <w:tcW w:w="661" w:type="dxa"/>
            <w:vMerge w:val="continue"/>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szCs w:val="21"/>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pacing w:val="-6"/>
                <w:kern w:val="0"/>
                <w:szCs w:val="21"/>
                <w:lang w:eastAsia="zh-CN"/>
              </w:rPr>
            </w:pPr>
            <w:r>
              <w:rPr>
                <w:rFonts w:hint="eastAsia" w:asciiTheme="minorEastAsia" w:hAnsiTheme="minorEastAsia" w:eastAsiaTheme="minorEastAsia" w:cstheme="minorEastAsia"/>
                <w:spacing w:val="-6"/>
                <w:kern w:val="0"/>
                <w:szCs w:val="21"/>
                <w:lang w:eastAsia="zh-CN"/>
              </w:rPr>
              <w:t>违约处罚承诺</w:t>
            </w:r>
          </w:p>
        </w:tc>
        <w:tc>
          <w:tcPr>
            <w:tcW w:w="6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供应商根据本项目的情况，做出了服务违约处罚承诺的，得2分。</w:t>
            </w:r>
          </w:p>
        </w:tc>
        <w:tc>
          <w:tcPr>
            <w:tcW w:w="721"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6"/>
                <w:szCs w:val="21"/>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cantSplit/>
          <w:trHeight w:val="0" w:hRule="atLeast"/>
        </w:trPr>
        <w:tc>
          <w:tcPr>
            <w:tcW w:w="661" w:type="dxa"/>
            <w:vMerge w:val="continue"/>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000000" w:themeColor="text1"/>
                <w:spacing w:val="-6"/>
                <w:szCs w:val="21"/>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pacing w:val="-6"/>
                <w:kern w:val="0"/>
                <w:szCs w:val="21"/>
                <w:lang w:eastAsia="zh-CN"/>
              </w:rPr>
            </w:pPr>
            <w:r>
              <w:rPr>
                <w:rFonts w:hint="eastAsia" w:asciiTheme="minorEastAsia" w:hAnsiTheme="minorEastAsia" w:eastAsiaTheme="minorEastAsia" w:cstheme="minorEastAsia"/>
                <w:spacing w:val="-6"/>
                <w:kern w:val="0"/>
                <w:szCs w:val="21"/>
                <w:lang w:eastAsia="zh-CN"/>
              </w:rPr>
              <w:t>技术培训</w:t>
            </w:r>
          </w:p>
        </w:tc>
        <w:tc>
          <w:tcPr>
            <w:tcW w:w="6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szCs w:val="21"/>
                <w:lang w:val="en-US" w:eastAsia="zh-CN"/>
              </w:rPr>
              <w:t>供应商按本项目采购需求，制定出对应的技术培训方案。方案合理、流程清晰、可操作性强，得3分；</w:t>
            </w:r>
            <w:r>
              <w:rPr>
                <w:rFonts w:hint="default" w:asciiTheme="minorEastAsia" w:hAnsiTheme="minorEastAsia" w:eastAsiaTheme="minorEastAsia" w:cstheme="minorEastAsia"/>
                <w:lang w:val="en-US" w:eastAsia="zh-CN"/>
              </w:rPr>
              <w:t>技术培训方案</w:t>
            </w:r>
            <w:r>
              <w:rPr>
                <w:rFonts w:hint="eastAsia" w:asciiTheme="minorEastAsia" w:hAnsiTheme="minorEastAsia" w:eastAsiaTheme="minorEastAsia" w:cstheme="minorEastAsia"/>
                <w:color w:val="000000"/>
                <w:szCs w:val="21"/>
                <w:lang w:val="en-US" w:eastAsia="zh-CN"/>
              </w:rPr>
              <w:t>基本合理、具备可操作性的，得2分；</w:t>
            </w:r>
            <w:r>
              <w:rPr>
                <w:rFonts w:hint="default" w:asciiTheme="minorEastAsia" w:hAnsiTheme="minorEastAsia" w:eastAsiaTheme="minorEastAsia" w:cstheme="minorEastAsia"/>
                <w:lang w:val="en-US" w:eastAsia="zh-CN"/>
              </w:rPr>
              <w:t>技术培训方案</w:t>
            </w:r>
            <w:r>
              <w:rPr>
                <w:rFonts w:hint="eastAsia" w:asciiTheme="minorEastAsia" w:hAnsiTheme="minorEastAsia" w:eastAsiaTheme="minorEastAsia" w:cstheme="minorEastAsia"/>
                <w:color w:val="000000"/>
                <w:szCs w:val="21"/>
                <w:lang w:val="en-US" w:eastAsia="zh-CN"/>
              </w:rPr>
              <w:t>仅能勉强符合、可操作性有缺陷的，得1分；其他不得分。</w:t>
            </w:r>
          </w:p>
        </w:tc>
        <w:tc>
          <w:tcPr>
            <w:tcW w:w="721"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heme="minorEastAsia" w:hAnsiTheme="minorEastAsia" w:eastAsiaTheme="minorEastAsia" w:cstheme="minorEastAsia"/>
                <w:color w:val="000000" w:themeColor="text1"/>
                <w:spacing w:val="-6"/>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6"/>
                <w:szCs w:val="21"/>
                <w:lang w:val="en-US" w:eastAsia="zh-CN"/>
                <w14:textFill>
                  <w14:solidFill>
                    <w14:schemeClr w14:val="tx1"/>
                  </w14:solidFill>
                </w14:textFill>
              </w:rPr>
              <w:t>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cantSplit/>
          <w:trHeight w:val="0" w:hRule="atLeast"/>
        </w:trPr>
        <w:tc>
          <w:tcPr>
            <w:tcW w:w="661"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000000" w:themeColor="text1"/>
                <w:spacing w:val="-6"/>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竞标报价</w:t>
            </w:r>
            <w:r>
              <w:rPr>
                <w:rFonts w:hint="eastAsia" w:asciiTheme="minorEastAsia" w:hAnsiTheme="minorEastAsia" w:cstheme="minorEastAsia"/>
                <w:color w:val="000000" w:themeColor="text1"/>
                <w:kern w:val="0"/>
                <w:szCs w:val="21"/>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0"/>
                <w:szCs w:val="21"/>
                <w14:textFill>
                  <w14:solidFill>
                    <w14:schemeClr w14:val="tx1"/>
                  </w14:solidFill>
                </w14:textFill>
              </w:rPr>
              <w:t>分</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000000" w:themeColor="text1"/>
                <w:spacing w:val="-6"/>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最后报价</w:t>
            </w:r>
          </w:p>
        </w:tc>
        <w:tc>
          <w:tcPr>
            <w:tcW w:w="6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14:textFill>
                  <w14:solidFill>
                    <w14:schemeClr w14:val="tx1"/>
                  </w14:solidFill>
                </w14:textFill>
              </w:rPr>
              <w:t>1、报价采用低价优先法计算，即满足磋商文件要求且</w:t>
            </w:r>
            <w:r>
              <w:rPr>
                <w:rFonts w:hint="eastAsia" w:asciiTheme="minorEastAsia" w:hAnsiTheme="minorEastAsia" w:eastAsiaTheme="minorEastAsia" w:cstheme="minorEastAsia"/>
                <w:color w:val="000000" w:themeColor="text1"/>
                <w:spacing w:val="-6"/>
                <w:szCs w:val="21"/>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pacing w:val="-6"/>
                <w:szCs w:val="21"/>
                <w14:textFill>
                  <w14:solidFill>
                    <w14:schemeClr w14:val="tx1"/>
                  </w14:solidFill>
                </w14:textFill>
              </w:rPr>
              <w:t>价格最低的</w:t>
            </w:r>
            <w:r>
              <w:rPr>
                <w:rFonts w:hint="eastAsia" w:asciiTheme="minorEastAsia" w:hAnsiTheme="minorEastAsia" w:eastAsiaTheme="minorEastAsia" w:cstheme="minorEastAsia"/>
                <w:color w:val="000000" w:themeColor="text1"/>
                <w:spacing w:val="-6"/>
                <w:szCs w:val="21"/>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pacing w:val="-6"/>
                <w:szCs w:val="21"/>
                <w14:textFill>
                  <w14:solidFill>
                    <w14:schemeClr w14:val="tx1"/>
                  </w14:solidFill>
                </w14:textFill>
              </w:rPr>
              <w:t>报价为评标基准价（核算后），其报价分为满分</w:t>
            </w:r>
            <w:r>
              <w:rPr>
                <w:rFonts w:hint="eastAsia" w:asciiTheme="minorEastAsia" w:hAnsiTheme="minorEastAsia" w:cstheme="minorEastAsia"/>
                <w:color w:val="000000" w:themeColor="text1"/>
                <w:spacing w:val="-6"/>
                <w:szCs w:val="21"/>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pacing w:val="-6"/>
                <w:szCs w:val="21"/>
                <w14:textFill>
                  <w14:solidFill>
                    <w14:schemeClr w14:val="tx1"/>
                  </w14:solidFill>
                </w14:textFill>
              </w:rPr>
              <w:t>分；其他合格供应商的</w:t>
            </w:r>
            <w:r>
              <w:rPr>
                <w:rFonts w:hint="eastAsia" w:asciiTheme="minorEastAsia" w:hAnsiTheme="minorEastAsia" w:eastAsiaTheme="minorEastAsia" w:cstheme="minorEastAsia"/>
                <w:color w:val="000000" w:themeColor="text1"/>
                <w:spacing w:val="-6"/>
                <w:szCs w:val="21"/>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pacing w:val="-6"/>
                <w:szCs w:val="21"/>
                <w14:textFill>
                  <w14:solidFill>
                    <w14:schemeClr w14:val="tx1"/>
                  </w14:solidFill>
                </w14:textFill>
              </w:rPr>
              <w:t>报价得分按如下公式计算：</w:t>
            </w:r>
            <w:r>
              <w:rPr>
                <w:rFonts w:hint="eastAsia" w:asciiTheme="minorEastAsia" w:hAnsiTheme="minorEastAsia" w:eastAsiaTheme="minorEastAsia" w:cstheme="minorEastAsia"/>
                <w:color w:val="000000" w:themeColor="text1"/>
                <w:spacing w:val="-6"/>
                <w:szCs w:val="21"/>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pacing w:val="-6"/>
                <w:szCs w:val="21"/>
                <w14:textFill>
                  <w14:solidFill>
                    <w14:schemeClr w14:val="tx1"/>
                  </w14:solidFill>
                </w14:textFill>
              </w:rPr>
              <w:t>报价得分=（评标基准价/</w:t>
            </w:r>
            <w:r>
              <w:rPr>
                <w:rFonts w:hint="eastAsia" w:asciiTheme="minorEastAsia" w:hAnsiTheme="minorEastAsia" w:eastAsiaTheme="minorEastAsia" w:cstheme="minorEastAsia"/>
                <w:color w:val="000000" w:themeColor="text1"/>
                <w:spacing w:val="-6"/>
                <w:szCs w:val="21"/>
                <w:lang w:eastAsia="zh-CN"/>
                <w14:textFill>
                  <w14:solidFill>
                    <w14:schemeClr w14:val="tx1"/>
                  </w14:solidFill>
                </w14:textFill>
              </w:rPr>
              <w:t>竞标</w:t>
            </w:r>
            <w:r>
              <w:rPr>
                <w:rFonts w:hint="eastAsia" w:asciiTheme="minorEastAsia" w:hAnsiTheme="minorEastAsia" w:eastAsiaTheme="minorEastAsia" w:cstheme="minorEastAsia"/>
                <w:color w:val="000000" w:themeColor="text1"/>
                <w:spacing w:val="-6"/>
                <w:szCs w:val="21"/>
                <w14:textFill>
                  <w14:solidFill>
                    <w14:schemeClr w14:val="tx1"/>
                  </w14:solidFill>
                </w14:textFill>
              </w:rPr>
              <w:t>报价）×</w:t>
            </w:r>
            <w:r>
              <w:rPr>
                <w:rFonts w:hint="eastAsia" w:asciiTheme="minorEastAsia" w:hAnsiTheme="minorEastAsia" w:cstheme="minorEastAsia"/>
                <w:color w:val="000000" w:themeColor="text1"/>
                <w:spacing w:val="-6"/>
                <w:szCs w:val="21"/>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pacing w:val="-6"/>
                <w:szCs w:val="21"/>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2、备注：1、如发现供应商的最后报价明显低于其他通过资格审查及符合性审查的供应商的最后报价，磋商小组认为有可能影响项目实施及服务质量或者不能诚信履约的，可启用澄清程序，有权要求供应商在合理的时间内出具最后报价的合理分析，供应商不能合理说明或者不能提供相关证明材料的，磋商小组可认定该供应商以低于成本报价竞标，有权将其报价作无效处理。</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3、符合本磋商文件第四章“政策支持”条件的，在评审时予以价格扣除，用扣除后的价格参与评审。</w:t>
            </w:r>
          </w:p>
        </w:tc>
        <w:tc>
          <w:tcPr>
            <w:tcW w:w="721" w:type="dxa"/>
            <w:tcBorders>
              <w:top w:val="single" w:color="auto" w:sz="4"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1</w:t>
            </w:r>
            <w:r>
              <w:rPr>
                <w:rFonts w:hint="eastAsia" w:asciiTheme="minorEastAsia" w:hAnsiTheme="minorEastAsia" w:cstheme="minorEastAsia"/>
                <w:color w:val="000000" w:themeColor="text1"/>
                <w:kern w:val="0"/>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Cs w:val="21"/>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cantSplit/>
          <w:trHeight w:val="0" w:hRule="atLeast"/>
        </w:trPr>
        <w:tc>
          <w:tcPr>
            <w:tcW w:w="661" w:type="dxa"/>
            <w:tcBorders>
              <w:top w:val="single" w:color="auto" w:sz="4" w:space="0"/>
              <w:bottom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总分</w:t>
            </w:r>
          </w:p>
        </w:tc>
        <w:tc>
          <w:tcPr>
            <w:tcW w:w="8627" w:type="dxa"/>
            <w:gridSpan w:val="3"/>
            <w:tcBorders>
              <w:top w:val="single" w:color="auto" w:sz="4" w:space="0"/>
              <w:left w:val="single" w:color="auto" w:sz="4" w:space="0"/>
              <w:bottom w:val="single" w:color="auto" w:sz="12"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100</w:t>
            </w:r>
          </w:p>
        </w:tc>
      </w:tr>
    </w:tbl>
    <w:p>
      <w:pPr>
        <w:rPr>
          <w:rFonts w:hint="eastAsia"/>
          <w:lang w:val="zh-CN"/>
        </w:rPr>
      </w:pPr>
    </w:p>
    <w:p>
      <w:pPr>
        <w:pStyle w:val="4"/>
        <w:bidi w:val="0"/>
        <w:rPr>
          <w:rFonts w:hint="default"/>
          <w:lang w:val="en-US" w:eastAsia="zh-CN"/>
        </w:rPr>
      </w:pPr>
      <w:r>
        <w:rPr>
          <w:rFonts w:hint="eastAsia"/>
          <w:lang w:val="zh-CN"/>
        </w:rPr>
        <w:br w:type="page"/>
      </w:r>
      <w:r>
        <w:rPr>
          <w:rFonts w:hint="eastAsia" w:asciiTheme="majorEastAsia" w:hAnsiTheme="majorEastAsia" w:eastAsiaTheme="majorEastAsia"/>
          <w:sz w:val="24"/>
          <w:lang w:val="en-US" w:eastAsia="zh-CN"/>
        </w:rPr>
        <w:t>附件一</w:t>
      </w:r>
      <w:r>
        <w:rPr>
          <w:rFonts w:hint="eastAsia" w:asciiTheme="majorEastAsia" w:hAnsiTheme="majorEastAsia"/>
          <w:sz w:val="24"/>
          <w:lang w:val="en-US" w:eastAsia="zh-CN"/>
        </w:rPr>
        <w:t>：</w:t>
      </w:r>
      <w:r>
        <w:rPr>
          <w:rFonts w:hint="eastAsia" w:asciiTheme="majorEastAsia" w:hAnsiTheme="majorEastAsia" w:eastAsiaTheme="majorEastAsia"/>
          <w:sz w:val="24"/>
          <w:lang w:val="en-US" w:eastAsia="zh-CN"/>
        </w:rPr>
        <w:t>《保密协议》</w:t>
      </w:r>
    </w:p>
    <w:p>
      <w:pPr>
        <w:bidi w:val="0"/>
        <w:jc w:val="center"/>
        <w:rPr>
          <w:b/>
          <w:bCs/>
          <w:sz w:val="28"/>
          <w:szCs w:val="32"/>
        </w:rPr>
      </w:pPr>
      <w:bookmarkStart w:id="34" w:name="_Toc7419"/>
      <w:r>
        <w:rPr>
          <w:rFonts w:hint="eastAsia"/>
          <w:b/>
          <w:bCs/>
          <w:sz w:val="28"/>
          <w:szCs w:val="32"/>
        </w:rPr>
        <w:fldChar w:fldCharType="begin"/>
      </w:r>
      <w:r>
        <w:rPr>
          <w:rFonts w:hint="eastAsia"/>
          <w:b/>
          <w:bCs/>
          <w:sz w:val="28"/>
          <w:szCs w:val="32"/>
        </w:rPr>
        <w:instrText xml:space="preserve">ADDIN CNKISM.UserStyle</w:instrText>
      </w:r>
      <w:r>
        <w:rPr>
          <w:rFonts w:hint="eastAsia"/>
          <w:b/>
          <w:bCs/>
          <w:sz w:val="28"/>
          <w:szCs w:val="32"/>
        </w:rPr>
        <w:fldChar w:fldCharType="end"/>
      </w:r>
      <w:r>
        <w:rPr>
          <w:rFonts w:hint="eastAsia"/>
          <w:b/>
          <w:bCs/>
          <w:sz w:val="28"/>
          <w:szCs w:val="32"/>
        </w:rPr>
        <w:t>保密协议</w:t>
      </w:r>
      <w:bookmarkEnd w:id="34"/>
    </w:p>
    <w:p>
      <w:pPr>
        <w:spacing w:line="500" w:lineRule="exact"/>
        <w:ind w:firstLine="422" w:firstLineChars="200"/>
        <w:rPr>
          <w:rFonts w:hint="eastAsia" w:ascii="宋体" w:hAnsi="宋体" w:eastAsia="宋体" w:cs="仿宋"/>
          <w:b/>
          <w:lang w:eastAsia="zh-CN"/>
        </w:rPr>
      </w:pPr>
      <w:r>
        <w:rPr>
          <w:rFonts w:hint="eastAsia" w:ascii="宋体" w:hAnsi="宋体" w:cs="仿宋"/>
          <w:b/>
        </w:rPr>
        <w:t>甲方</w:t>
      </w:r>
      <w:r>
        <w:rPr>
          <w:rFonts w:hint="eastAsia" w:ascii="宋体" w:hAnsi="宋体" w:cs="仿宋"/>
          <w:b/>
          <w:lang w:val="en-US" w:eastAsia="zh-CN"/>
        </w:rPr>
        <w:t>(盖公章)</w:t>
      </w:r>
      <w:r>
        <w:rPr>
          <w:rFonts w:hint="eastAsia" w:ascii="宋体" w:hAnsi="宋体" w:cs="仿宋"/>
          <w:b/>
        </w:rPr>
        <w:t>：</w:t>
      </w:r>
      <w:r>
        <w:rPr>
          <w:rFonts w:hint="eastAsia" w:ascii="宋体" w:hAnsi="宋体" w:cs="仿宋"/>
          <w:b/>
          <w:lang w:val="en-US" w:eastAsia="zh-CN"/>
        </w:rPr>
        <w:t xml:space="preserve"> </w:t>
      </w:r>
    </w:p>
    <w:p>
      <w:pPr>
        <w:spacing w:line="500" w:lineRule="exact"/>
        <w:ind w:firstLine="422" w:firstLineChars="200"/>
        <w:rPr>
          <w:rFonts w:hint="eastAsia" w:ascii="宋体" w:hAnsi="宋体" w:eastAsia="宋体" w:cs="仿宋"/>
          <w:b/>
          <w:lang w:eastAsia="zh-CN"/>
        </w:rPr>
      </w:pPr>
      <w:r>
        <w:rPr>
          <w:rFonts w:hint="eastAsia" w:ascii="宋体" w:hAnsi="宋体" w:cs="仿宋"/>
          <w:b/>
        </w:rPr>
        <w:t>住所地：</w:t>
      </w:r>
      <w:r>
        <w:rPr>
          <w:rFonts w:hint="eastAsia" w:ascii="宋体" w:hAnsi="宋体" w:cs="仿宋"/>
          <w:b/>
          <w:lang w:val="en-US" w:eastAsia="zh-CN"/>
        </w:rPr>
        <w:t xml:space="preserve"> </w:t>
      </w:r>
    </w:p>
    <w:p>
      <w:pPr>
        <w:spacing w:line="500" w:lineRule="exact"/>
        <w:ind w:firstLine="422" w:firstLineChars="200"/>
        <w:rPr>
          <w:rFonts w:hint="eastAsia" w:ascii="宋体" w:hAnsi="宋体" w:eastAsia="宋体" w:cs="仿宋"/>
          <w:b/>
          <w:lang w:eastAsia="zh-CN"/>
        </w:rPr>
      </w:pPr>
      <w:r>
        <w:rPr>
          <w:rFonts w:hint="eastAsia" w:ascii="宋体" w:hAnsi="宋体" w:cs="仿宋"/>
          <w:b/>
        </w:rPr>
        <w:t>法定代表人或负责人：</w:t>
      </w:r>
      <w:r>
        <w:rPr>
          <w:rFonts w:hint="eastAsia" w:ascii="宋体" w:hAnsi="宋体" w:cs="仿宋"/>
          <w:b/>
          <w:lang w:val="en-US" w:eastAsia="zh-CN"/>
        </w:rPr>
        <w:t xml:space="preserve"> </w:t>
      </w:r>
    </w:p>
    <w:p>
      <w:pPr>
        <w:spacing w:line="500" w:lineRule="exact"/>
        <w:ind w:firstLine="422" w:firstLineChars="200"/>
        <w:rPr>
          <w:rFonts w:ascii="宋体" w:hAnsi="宋体" w:cs="仿宋"/>
          <w:b/>
        </w:rPr>
      </w:pPr>
    </w:p>
    <w:p>
      <w:pPr>
        <w:spacing w:line="500" w:lineRule="exact"/>
        <w:ind w:firstLine="422" w:firstLineChars="200"/>
        <w:rPr>
          <w:rFonts w:hint="eastAsia" w:ascii="宋体" w:hAnsi="宋体" w:cs="仿宋"/>
          <w:b/>
          <w:lang w:val="en-US" w:eastAsia="zh-CN"/>
        </w:rPr>
      </w:pPr>
      <w:r>
        <w:rPr>
          <w:rFonts w:hint="eastAsia" w:ascii="宋体" w:hAnsi="宋体" w:cs="仿宋"/>
          <w:b/>
        </w:rPr>
        <w:t>乙方</w:t>
      </w:r>
      <w:r>
        <w:rPr>
          <w:rFonts w:hint="eastAsia" w:ascii="宋体" w:hAnsi="宋体" w:cs="仿宋"/>
          <w:b/>
          <w:lang w:val="en-US" w:eastAsia="zh-CN"/>
        </w:rPr>
        <w:t>(盖公章)</w:t>
      </w:r>
      <w:r>
        <w:rPr>
          <w:rFonts w:hint="eastAsia" w:ascii="宋体" w:hAnsi="宋体" w:cs="仿宋"/>
          <w:b/>
        </w:rPr>
        <w:t>：</w:t>
      </w:r>
      <w:r>
        <w:rPr>
          <w:rFonts w:hint="eastAsia" w:ascii="宋体" w:hAnsi="宋体" w:cs="仿宋"/>
          <w:b/>
          <w:lang w:val="en-US" w:eastAsia="zh-CN"/>
        </w:rPr>
        <w:t xml:space="preserve"> </w:t>
      </w:r>
    </w:p>
    <w:p>
      <w:pPr>
        <w:spacing w:line="500" w:lineRule="exact"/>
        <w:ind w:firstLine="422" w:firstLineChars="200"/>
      </w:pPr>
      <w:r>
        <w:rPr>
          <w:rFonts w:hint="eastAsia" w:ascii="宋体" w:hAnsi="宋体" w:cs="仿宋"/>
          <w:b/>
        </w:rPr>
        <w:t>住所地：</w:t>
      </w:r>
    </w:p>
    <w:p>
      <w:pPr>
        <w:spacing w:line="500" w:lineRule="exact"/>
        <w:ind w:firstLine="422" w:firstLineChars="200"/>
        <w:rPr>
          <w:rFonts w:hint="default" w:ascii="宋体" w:hAnsi="宋体" w:eastAsia="宋体"/>
          <w:lang w:val="en-US" w:eastAsia="zh-CN"/>
        </w:rPr>
      </w:pPr>
      <w:r>
        <w:rPr>
          <w:rFonts w:hint="eastAsia" w:ascii="宋体" w:hAnsi="宋体" w:cs="仿宋"/>
          <w:b/>
        </w:rPr>
        <w:t>法定代表人或负责人：</w:t>
      </w:r>
      <w:r>
        <w:rPr>
          <w:rFonts w:hint="eastAsia" w:ascii="宋体" w:hAnsi="宋体" w:cs="仿宋"/>
          <w:b/>
          <w:lang w:val="en-US" w:eastAsia="zh-CN"/>
        </w:rPr>
        <w:t xml:space="preserve"> </w:t>
      </w:r>
    </w:p>
    <w:p>
      <w:pPr>
        <w:snapToGrid w:val="0"/>
        <w:spacing w:line="500" w:lineRule="exact"/>
        <w:ind w:firstLine="420" w:firstLineChars="200"/>
        <w:contextualSpacing/>
        <w:rPr>
          <w:rFonts w:ascii="宋体" w:hAnsi="宋体" w:cs="仿宋"/>
          <w:bCs/>
        </w:rPr>
      </w:pPr>
    </w:p>
    <w:p>
      <w:pPr>
        <w:snapToGrid w:val="0"/>
        <w:spacing w:line="500" w:lineRule="exact"/>
        <w:ind w:firstLine="420" w:firstLineChars="200"/>
        <w:contextualSpacing/>
        <w:rPr>
          <w:rFonts w:ascii="宋体" w:hAnsi="宋体" w:cs="仿宋"/>
          <w:bCs/>
        </w:rPr>
      </w:pPr>
      <w:r>
        <w:rPr>
          <w:rFonts w:hint="eastAsia" w:ascii="宋体" w:hAnsi="宋体" w:cs="仿宋"/>
          <w:bCs/>
        </w:rPr>
        <w:t>甲、乙双方开展本协议所附属之合同项下合作项目（下称“项目”），并将为此进行包括但不限于相互交流、洽商、谈判、合同签订与履行等各种形式的接触，为了保障甲方保密信息的安全性，现根据中华人民共和国相关法律、法规，在平等、自愿的基础上，就本项目合作所涉相关保密事宜，经协商一致，达成本协议如下，以资共同信守。</w:t>
      </w:r>
    </w:p>
    <w:p>
      <w:pPr>
        <w:snapToGrid w:val="0"/>
        <w:spacing w:line="500" w:lineRule="exact"/>
        <w:ind w:firstLine="422" w:firstLineChars="200"/>
        <w:contextualSpacing/>
        <w:rPr>
          <w:rFonts w:ascii="宋体" w:hAnsi="宋体" w:cs="仿宋"/>
          <w:b/>
        </w:rPr>
      </w:pPr>
      <w:r>
        <w:rPr>
          <w:rFonts w:hint="eastAsia" w:ascii="宋体" w:hAnsi="宋体" w:cs="仿宋"/>
          <w:b/>
        </w:rPr>
        <w:t>第一条  保密范围</w:t>
      </w:r>
    </w:p>
    <w:p>
      <w:pPr>
        <w:snapToGrid w:val="0"/>
        <w:spacing w:line="500" w:lineRule="exact"/>
        <w:ind w:firstLine="420" w:firstLineChars="200"/>
        <w:contextualSpacing/>
        <w:rPr>
          <w:rFonts w:ascii="宋体" w:hAnsi="宋体" w:cs="仿宋"/>
          <w:bCs/>
        </w:rPr>
      </w:pPr>
      <w:r>
        <w:rPr>
          <w:rFonts w:hint="eastAsia" w:ascii="宋体" w:hAnsi="宋体" w:cs="仿宋"/>
          <w:bCs/>
        </w:rPr>
        <w:t>1</w:t>
      </w:r>
      <w:r>
        <w:rPr>
          <w:rFonts w:hint="eastAsia" w:ascii="宋体" w:hAnsi="宋体" w:cs="仿宋"/>
          <w:bCs/>
          <w:szCs w:val="22"/>
        </w:rPr>
        <w:t>．</w:t>
      </w:r>
      <w:r>
        <w:rPr>
          <w:rFonts w:ascii="宋体" w:hAnsi="宋体" w:cs="仿宋"/>
          <w:bCs/>
        </w:rPr>
        <w:t>“保密信息”</w:t>
      </w:r>
      <w:r>
        <w:rPr>
          <w:rFonts w:hint="eastAsia" w:ascii="宋体" w:hAnsi="宋体" w:cs="仿宋"/>
          <w:bCs/>
        </w:rPr>
        <w:t>应包括但不限于乙方从甲方处以书面、口头、图像、传真、磁盘、电子邮件、演示产品或任何其他形式获得的标注有“保密信息”字样或虽未标注“保密信息”字样但未在任何报纸、杂志、刊物、媒体、媒介载体、互联网、披露方公开发送的宣传资料及其他公开场合披露的任何与甲方及本项目有关任何类型、内容和形式的非公开的信息、实物、文件、档案、知识、数据、绘图、专有技术、分析、计算、编辑、研究和其他材料及其上记载的相关内容，包括但不限于：</w:t>
      </w:r>
    </w:p>
    <w:p>
      <w:pPr>
        <w:snapToGrid w:val="0"/>
        <w:spacing w:line="500" w:lineRule="exact"/>
        <w:ind w:firstLine="420" w:firstLineChars="200"/>
        <w:contextualSpacing/>
        <w:rPr>
          <w:rFonts w:ascii="宋体" w:hAnsi="宋体" w:cs="仿宋"/>
          <w:bCs/>
        </w:rPr>
      </w:pPr>
      <w:r>
        <w:rPr>
          <w:rFonts w:hint="eastAsia" w:ascii="宋体" w:hAnsi="宋体" w:cs="仿宋"/>
          <w:bCs/>
        </w:rPr>
        <w:t>（1）双方为本项目合作事项签署的合作协议、本保密协议及其他任何协议、协议附件、补充协议或确认函件等所有相关文件；</w:t>
      </w:r>
    </w:p>
    <w:p>
      <w:pPr>
        <w:snapToGrid w:val="0"/>
        <w:spacing w:line="500" w:lineRule="exact"/>
        <w:ind w:firstLine="420" w:firstLineChars="200"/>
        <w:contextualSpacing/>
        <w:rPr>
          <w:rFonts w:ascii="宋体" w:hAnsi="宋体" w:cs="仿宋"/>
          <w:bCs/>
        </w:rPr>
      </w:pPr>
      <w:r>
        <w:rPr>
          <w:rFonts w:hint="eastAsia" w:ascii="宋体" w:hAnsi="宋体" w:cs="仿宋"/>
          <w:bCs/>
        </w:rPr>
        <w:t>（2）与本项目相关的构思建议、各参与方、项目进度、项目研究和评估结果、财务数据模型、谈判细节及双方对本项目的安排及意向等非公开信息、数据、资料；</w:t>
      </w:r>
    </w:p>
    <w:p>
      <w:pPr>
        <w:snapToGrid w:val="0"/>
        <w:spacing w:line="500" w:lineRule="exact"/>
        <w:ind w:firstLine="420" w:firstLineChars="200"/>
        <w:contextualSpacing/>
        <w:rPr>
          <w:rFonts w:ascii="宋体" w:hAnsi="宋体" w:cs="仿宋"/>
          <w:bCs/>
        </w:rPr>
      </w:pPr>
      <w:r>
        <w:rPr>
          <w:rFonts w:hint="eastAsia" w:ascii="宋体" w:hAnsi="宋体" w:cs="仿宋"/>
          <w:bCs/>
        </w:rPr>
        <w:t>（3）不为公众所知悉、对甲方或其关联方的业务、经营、利益构成或可能构成影响的信息；</w:t>
      </w:r>
    </w:p>
    <w:p>
      <w:pPr>
        <w:snapToGrid w:val="0"/>
        <w:spacing w:line="500" w:lineRule="exact"/>
        <w:ind w:firstLine="420" w:firstLineChars="200"/>
        <w:contextualSpacing/>
        <w:rPr>
          <w:rFonts w:ascii="宋体" w:hAnsi="宋体" w:cs="仿宋"/>
          <w:bCs/>
        </w:rPr>
      </w:pPr>
      <w:r>
        <w:rPr>
          <w:rFonts w:hint="eastAsia" w:ascii="宋体" w:hAnsi="宋体" w:cs="仿宋"/>
          <w:bCs/>
        </w:rPr>
        <w:t>（4）甲方及其关联方的公司架构、股权结构、关联公司、专有技术、商业秘密、独占性资料、财务报告、客户和供应商信息与名录及其他有关的重要技术和商业信息；</w:t>
      </w:r>
    </w:p>
    <w:p>
      <w:pPr>
        <w:snapToGrid w:val="0"/>
        <w:spacing w:line="500" w:lineRule="exact"/>
        <w:ind w:firstLine="420" w:firstLineChars="200"/>
        <w:contextualSpacing/>
        <w:rPr>
          <w:rFonts w:ascii="宋体" w:hAnsi="宋体" w:cs="仿宋"/>
          <w:bCs/>
        </w:rPr>
      </w:pPr>
      <w:r>
        <w:rPr>
          <w:rFonts w:hint="eastAsia" w:ascii="宋体" w:hAnsi="宋体" w:cs="仿宋"/>
          <w:bCs/>
        </w:rPr>
        <w:t>（5）乙方获知的或由甲方提供的商务模式信息、开发信息、图表和其他技术、业务、营销或财务信息、经营管理信息、战略计划事宜等有关信息；</w:t>
      </w:r>
    </w:p>
    <w:p>
      <w:pPr>
        <w:snapToGrid w:val="0"/>
        <w:spacing w:line="500" w:lineRule="exact"/>
        <w:ind w:firstLine="420" w:firstLineChars="200"/>
        <w:contextualSpacing/>
        <w:rPr>
          <w:rFonts w:ascii="宋体" w:hAnsi="宋体" w:cs="仿宋"/>
          <w:bCs/>
        </w:rPr>
      </w:pPr>
      <w:r>
        <w:rPr>
          <w:rFonts w:hint="eastAsia" w:ascii="宋体" w:hAnsi="宋体" w:cs="仿宋"/>
          <w:bCs/>
        </w:rPr>
        <w:t>（6）乙方获知的有关甲方的所有交易、谈判、纷争、索赔、诉讼以及有关策略、方案、步骤、目标、条件等信息；</w:t>
      </w:r>
    </w:p>
    <w:p>
      <w:pPr>
        <w:snapToGrid w:val="0"/>
        <w:spacing w:line="500" w:lineRule="exact"/>
        <w:ind w:firstLine="420" w:firstLineChars="200"/>
        <w:contextualSpacing/>
        <w:rPr>
          <w:rFonts w:ascii="宋体" w:hAnsi="宋体" w:cs="仿宋"/>
          <w:bCs/>
        </w:rPr>
      </w:pPr>
      <w:r>
        <w:rPr>
          <w:rFonts w:hint="eastAsia" w:ascii="宋体" w:hAnsi="宋体" w:cs="仿宋"/>
          <w:bCs/>
        </w:rPr>
        <w:t>（7）甲方向乙方披露的有关本项目的项目执行方案及其他建议性意见或信息；</w:t>
      </w:r>
    </w:p>
    <w:p>
      <w:pPr>
        <w:snapToGrid w:val="0"/>
        <w:spacing w:line="500" w:lineRule="exact"/>
        <w:ind w:firstLine="420" w:firstLineChars="200"/>
        <w:contextualSpacing/>
        <w:rPr>
          <w:rFonts w:ascii="宋体" w:hAnsi="宋体" w:cs="仿宋"/>
          <w:bCs/>
        </w:rPr>
      </w:pPr>
      <w:r>
        <w:rPr>
          <w:rFonts w:hint="eastAsia" w:ascii="宋体" w:hAnsi="宋体" w:cs="仿宋"/>
          <w:bCs/>
        </w:rPr>
        <w:t>（8）甲方不时披露的与本项目相关的产品样机、技术原理、开发进度、品牌形象设计、商标图案、营销元素、产业链成员等；</w:t>
      </w:r>
    </w:p>
    <w:p>
      <w:pPr>
        <w:snapToGrid w:val="0"/>
        <w:spacing w:line="500" w:lineRule="exact"/>
        <w:ind w:firstLine="420" w:firstLineChars="200"/>
        <w:contextualSpacing/>
        <w:rPr>
          <w:rFonts w:ascii="宋体" w:hAnsi="宋体" w:cs="仿宋"/>
          <w:bCs/>
        </w:rPr>
      </w:pPr>
      <w:r>
        <w:rPr>
          <w:rFonts w:hint="eastAsia" w:ascii="宋体" w:hAnsi="宋体" w:cs="仿宋"/>
          <w:bCs/>
        </w:rPr>
        <w:t>（9）乙方从上述信息或者与上述信息相关的信息开发得到的信息以及其他具有保密性质的信息。</w:t>
      </w:r>
    </w:p>
    <w:p>
      <w:pPr>
        <w:snapToGrid w:val="0"/>
        <w:spacing w:line="500" w:lineRule="exact"/>
        <w:ind w:firstLine="420" w:firstLineChars="200"/>
        <w:contextualSpacing/>
        <w:rPr>
          <w:rFonts w:ascii="宋体" w:hAnsi="宋体" w:cs="仿宋"/>
          <w:bCs/>
        </w:rPr>
      </w:pPr>
      <w:r>
        <w:rPr>
          <w:rFonts w:hint="eastAsia" w:ascii="宋体" w:hAnsi="宋体" w:cs="仿宋"/>
          <w:bCs/>
        </w:rPr>
        <w:t>2</w:t>
      </w:r>
      <w:r>
        <w:rPr>
          <w:rFonts w:hint="eastAsia" w:ascii="宋体" w:hAnsi="宋体" w:cs="仿宋"/>
          <w:bCs/>
          <w:szCs w:val="22"/>
        </w:rPr>
        <w:t>．</w:t>
      </w:r>
      <w:r>
        <w:rPr>
          <w:rFonts w:hint="eastAsia" w:ascii="宋体" w:hAnsi="宋体" w:cs="仿宋"/>
          <w:bCs/>
        </w:rPr>
        <w:t>“相关人士”包括一方及其股东的董事、雇员、工作人员、咨询者、代理人、代表、顾问，以及律师、审计师和税务师等第三方机构。对乙方而言，“相关人士”还包括经甲方书面同意乙方向其提供保密信息的关联方及其董事、雇员、工作人员、咨询者、代理人、代表、顾问。</w:t>
      </w:r>
    </w:p>
    <w:p>
      <w:pPr>
        <w:snapToGrid w:val="0"/>
        <w:spacing w:line="500" w:lineRule="exact"/>
        <w:ind w:firstLine="420" w:firstLineChars="200"/>
        <w:contextualSpacing/>
        <w:rPr>
          <w:rFonts w:ascii="宋体" w:hAnsi="宋体" w:cs="仿宋"/>
          <w:bCs/>
        </w:rPr>
      </w:pPr>
      <w:r>
        <w:rPr>
          <w:rFonts w:hint="eastAsia" w:ascii="宋体" w:hAnsi="宋体" w:cs="仿宋"/>
          <w:bCs/>
        </w:rPr>
        <w:t>3</w:t>
      </w:r>
      <w:r>
        <w:rPr>
          <w:rFonts w:hint="eastAsia" w:ascii="宋体" w:hAnsi="宋体" w:cs="仿宋"/>
          <w:bCs/>
          <w:szCs w:val="22"/>
        </w:rPr>
        <w:t>．</w:t>
      </w:r>
      <w:r>
        <w:rPr>
          <w:rFonts w:hint="eastAsia" w:ascii="宋体" w:hAnsi="宋体" w:cs="仿宋"/>
          <w:bCs/>
        </w:rPr>
        <w:t>“披露”指甲方向乙方披露信息或乙方从甲方知悉信息的行为。</w:t>
      </w:r>
    </w:p>
    <w:p>
      <w:pPr>
        <w:snapToGrid w:val="0"/>
        <w:spacing w:line="500" w:lineRule="exact"/>
        <w:ind w:firstLine="422" w:firstLineChars="200"/>
        <w:contextualSpacing/>
        <w:rPr>
          <w:rFonts w:ascii="宋体" w:hAnsi="宋体" w:cs="仿宋"/>
          <w:b/>
        </w:rPr>
      </w:pPr>
      <w:r>
        <w:rPr>
          <w:rFonts w:ascii="宋体" w:hAnsi="宋体" w:cs="仿宋"/>
          <w:b/>
        </w:rPr>
        <w:t>第二条</w:t>
      </w:r>
      <w:r>
        <w:rPr>
          <w:rFonts w:hint="eastAsia" w:ascii="宋体" w:hAnsi="宋体" w:cs="仿宋"/>
          <w:b/>
        </w:rPr>
        <w:t xml:space="preserve"> 保密义务</w:t>
      </w:r>
    </w:p>
    <w:p>
      <w:pPr>
        <w:snapToGrid w:val="0"/>
        <w:spacing w:line="500" w:lineRule="exact"/>
        <w:ind w:firstLine="420" w:firstLineChars="200"/>
        <w:contextualSpacing/>
        <w:rPr>
          <w:rFonts w:ascii="宋体" w:hAnsi="宋体" w:cs="仿宋"/>
          <w:bCs/>
        </w:rPr>
      </w:pPr>
      <w:r>
        <w:rPr>
          <w:rFonts w:hint="eastAsia" w:ascii="宋体" w:hAnsi="宋体" w:cs="仿宋"/>
          <w:bCs/>
        </w:rPr>
        <w:t>1．乙方承诺乙方使用甲方保密信息的目的是且仅是为了双方在项目中的合作，未取得甲方事先书面同意，乙方只能将本协议项下之保密信息用于该等目的，不得为本协议以外的目的使用保密信息。</w:t>
      </w:r>
    </w:p>
    <w:p>
      <w:pPr>
        <w:snapToGrid w:val="0"/>
        <w:spacing w:line="500" w:lineRule="exact"/>
        <w:ind w:firstLine="420" w:firstLineChars="200"/>
        <w:contextualSpacing/>
        <w:rPr>
          <w:rFonts w:ascii="宋体" w:hAnsi="宋体" w:cs="仿宋"/>
          <w:bCs/>
        </w:rPr>
      </w:pPr>
      <w:r>
        <w:rPr>
          <w:rFonts w:hint="eastAsia" w:ascii="宋体" w:hAnsi="宋体" w:cs="仿宋"/>
          <w:bCs/>
        </w:rPr>
        <w:t>2.乙方仅有权为本项目之目的，向其为执行本项目而有必要知晓保密信息的相关人士披露该等信息。乙方承诺，除非按任何适用法律法规、监管规则或按有管辖权的司法机关或监管机构的要求做出披露外，在没有取得甲方书面同意前，乙方不得向任何其他个人、企业、公司、联合体或其他团体直接或间接以任何形式透露、披露、泄露有关保密信息。除非本协议有其他规定，无论在任何情形下乙方不得以任何形式向任何实体或个人告知或暗示乙方将收到、曾收到或正在收到任何保密信息。乙方承诺在向确须获知保密信息的相关人士或第三方进行披露时，应向其披露本保密协议的存在并要求其承担不低于本协议标准的全部保密义务。</w:t>
      </w:r>
    </w:p>
    <w:p>
      <w:pPr>
        <w:snapToGrid w:val="0"/>
        <w:spacing w:line="500" w:lineRule="exact"/>
        <w:ind w:firstLine="420" w:firstLineChars="200"/>
        <w:contextualSpacing/>
        <w:rPr>
          <w:rFonts w:ascii="宋体" w:hAnsi="宋体" w:cs="仿宋"/>
          <w:bCs/>
        </w:rPr>
      </w:pPr>
      <w:r>
        <w:rPr>
          <w:rFonts w:hint="eastAsia" w:ascii="宋体" w:hAnsi="宋体" w:cs="仿宋"/>
          <w:bCs/>
        </w:rPr>
        <w:t>3.乙方应采取一切合理且不低于乙方对其自身类似的保密信息所采取的谨慎态度及保密措施来保护甲方向其披露的保密信息，以防止保密信息被盗窃及/或泄露、未经授权的使用、因任何第三人的疏忽导致保密信息的泄露。同时，保密信息的储存和处理方式应符合避免未经授权的披露和使用的要求。</w:t>
      </w:r>
    </w:p>
    <w:p>
      <w:pPr>
        <w:snapToGrid w:val="0"/>
        <w:spacing w:line="500" w:lineRule="exact"/>
        <w:ind w:firstLine="420" w:firstLineChars="200"/>
        <w:contextualSpacing/>
        <w:rPr>
          <w:rFonts w:ascii="宋体" w:hAnsi="宋体" w:cs="仿宋"/>
          <w:bCs/>
        </w:rPr>
      </w:pPr>
      <w:r>
        <w:rPr>
          <w:rFonts w:hint="eastAsia" w:ascii="宋体" w:hAnsi="宋体" w:cs="仿宋"/>
          <w:bCs/>
        </w:rPr>
        <w:t>4.乙方一旦知悉保密信息被未经授权地使用或披露，应立即通知甲方并应协助甲方采取相关救济措施。</w:t>
      </w:r>
    </w:p>
    <w:p>
      <w:pPr>
        <w:snapToGrid w:val="0"/>
        <w:spacing w:line="500" w:lineRule="exact"/>
        <w:ind w:firstLine="422" w:firstLineChars="200"/>
        <w:contextualSpacing/>
        <w:rPr>
          <w:rFonts w:ascii="宋体" w:hAnsi="宋体" w:cs="仿宋"/>
          <w:b/>
        </w:rPr>
      </w:pPr>
      <w:r>
        <w:rPr>
          <w:rFonts w:hint="eastAsia" w:ascii="宋体" w:hAnsi="宋体" w:cs="仿宋"/>
          <w:b/>
        </w:rPr>
        <w:t>第三条  保密信息的法定披露</w:t>
      </w:r>
    </w:p>
    <w:p>
      <w:pPr>
        <w:snapToGrid w:val="0"/>
        <w:spacing w:line="500" w:lineRule="exact"/>
        <w:ind w:firstLine="420" w:firstLineChars="200"/>
        <w:contextualSpacing/>
        <w:rPr>
          <w:rFonts w:ascii="宋体" w:hAnsi="宋体" w:cs="仿宋"/>
          <w:bCs/>
        </w:rPr>
      </w:pPr>
      <w:r>
        <w:rPr>
          <w:rFonts w:hint="eastAsia" w:ascii="宋体" w:hAnsi="宋体" w:cs="仿宋"/>
          <w:bCs/>
        </w:rPr>
        <w:t>1．乙方应国家法定机关的要求或者根据法律、法规、行政规章、监管政策的规定披露本协议项下之保密信息的，为保密信息的法定披露，不违反本协议的约定义务。</w:t>
      </w:r>
    </w:p>
    <w:p>
      <w:pPr>
        <w:snapToGrid w:val="0"/>
        <w:spacing w:line="500" w:lineRule="exact"/>
        <w:ind w:firstLine="420" w:firstLineChars="200"/>
        <w:contextualSpacing/>
        <w:rPr>
          <w:rFonts w:ascii="宋体" w:hAnsi="宋体" w:cs="仿宋"/>
          <w:bCs/>
        </w:rPr>
      </w:pPr>
      <w:r>
        <w:rPr>
          <w:rFonts w:hint="eastAsia" w:ascii="宋体" w:hAnsi="宋体" w:cs="仿宋"/>
          <w:bCs/>
        </w:rPr>
        <w:t>2．乙方在进行保密信息的法定披露前，在可能且遵守相关法律规定的情况下，应立即向甲方予以通报，以便甲方能以保密为抗辩理由或取得保护措施，并且应用尽所有合法程序来保护该保密信息。</w:t>
      </w:r>
    </w:p>
    <w:p>
      <w:pPr>
        <w:snapToGrid w:val="0"/>
        <w:spacing w:line="500" w:lineRule="exact"/>
        <w:ind w:firstLine="420" w:firstLineChars="200"/>
        <w:contextualSpacing/>
        <w:rPr>
          <w:rFonts w:ascii="宋体" w:hAnsi="宋体" w:cs="仿宋"/>
          <w:bCs/>
        </w:rPr>
      </w:pPr>
      <w:r>
        <w:rPr>
          <w:rFonts w:hint="eastAsia" w:ascii="宋体" w:hAnsi="宋体" w:cs="仿宋"/>
          <w:bCs/>
        </w:rPr>
        <w:t>3．乙方应将该等披露局限于法律法规、监管规则要求披露的最小范围内。</w:t>
      </w:r>
    </w:p>
    <w:p>
      <w:pPr>
        <w:snapToGrid w:val="0"/>
        <w:spacing w:line="500" w:lineRule="exact"/>
        <w:ind w:firstLine="422" w:firstLineChars="200"/>
        <w:contextualSpacing/>
        <w:rPr>
          <w:rFonts w:ascii="宋体" w:hAnsi="宋体" w:cs="仿宋"/>
          <w:b/>
        </w:rPr>
      </w:pPr>
      <w:r>
        <w:rPr>
          <w:rFonts w:hint="eastAsia" w:ascii="宋体" w:hAnsi="宋体" w:cs="仿宋"/>
          <w:b/>
        </w:rPr>
        <w:t>第四条  非权利授予</w:t>
      </w:r>
    </w:p>
    <w:p>
      <w:pPr>
        <w:snapToGrid w:val="0"/>
        <w:spacing w:line="500" w:lineRule="exact"/>
        <w:ind w:firstLine="420" w:firstLineChars="200"/>
        <w:contextualSpacing/>
        <w:rPr>
          <w:rFonts w:ascii="宋体" w:hAnsi="宋体" w:cs="仿宋"/>
          <w:bCs/>
        </w:rPr>
      </w:pPr>
      <w:r>
        <w:rPr>
          <w:rFonts w:hint="eastAsia" w:ascii="宋体" w:hAnsi="宋体" w:cs="仿宋"/>
          <w:bCs/>
        </w:rPr>
        <w:t>1.双方同意，甲方因项目合作提供给乙方的保密信息及与之相关的一切权利，是甲方有价值的专有财产，除了乙方有权为履行其在项目相关协议项下的权利、义务合理使用甲方提供的保密信息以外，任何保密信息的获得并不意味着甲方授予乙方有关甲方保密信息的任何权利（如任何形式的所有权或知识产权），双方另有约定的除外。</w:t>
      </w:r>
    </w:p>
    <w:p>
      <w:pPr>
        <w:snapToGrid w:val="0"/>
        <w:spacing w:line="500" w:lineRule="exact"/>
        <w:ind w:firstLine="420" w:firstLineChars="200"/>
        <w:contextualSpacing/>
        <w:rPr>
          <w:rFonts w:ascii="宋体" w:hAnsi="宋体" w:cs="仿宋"/>
          <w:bCs/>
        </w:rPr>
      </w:pPr>
      <w:r>
        <w:rPr>
          <w:rFonts w:hint="eastAsia" w:ascii="宋体" w:hAnsi="宋体" w:cs="仿宋"/>
          <w:bCs/>
        </w:rPr>
        <w:t>2.保密信息的权属应归于甲方，如对保密信息进行任何形式的复制，则该等保密信息的复制版（或复制品上的保密信息所有权利）之权属亦均归属于甲方。</w:t>
      </w:r>
    </w:p>
    <w:p>
      <w:pPr>
        <w:snapToGrid w:val="0"/>
        <w:spacing w:line="500" w:lineRule="exact"/>
        <w:ind w:firstLine="420" w:firstLineChars="200"/>
        <w:contextualSpacing/>
        <w:rPr>
          <w:rFonts w:ascii="宋体" w:hAnsi="宋体" w:cs="仿宋"/>
          <w:bCs/>
        </w:rPr>
      </w:pPr>
      <w:r>
        <w:rPr>
          <w:rFonts w:hint="eastAsia" w:ascii="宋体" w:hAnsi="宋体" w:cs="仿宋"/>
          <w:bCs/>
        </w:rPr>
        <w:t>3.甲方没有行使或延迟行使协议项下的权利、权力、特权，并不构成甲方对该等权利、权力、特权的放弃。任何现在对该等权利、权力或特权的弃权行为或声明，或任何单一或部分地行使权利、权力或特权，不会排除以后完全行使或对其他相同权利、权力及特权的行使。</w:t>
      </w:r>
    </w:p>
    <w:p>
      <w:pPr>
        <w:snapToGrid w:val="0"/>
        <w:spacing w:line="500" w:lineRule="exact"/>
        <w:ind w:firstLine="422" w:firstLineChars="200"/>
        <w:contextualSpacing/>
        <w:rPr>
          <w:rFonts w:ascii="宋体" w:hAnsi="宋体" w:cs="仿宋"/>
          <w:b/>
        </w:rPr>
      </w:pPr>
      <w:r>
        <w:rPr>
          <w:rFonts w:hint="eastAsia" w:ascii="宋体" w:hAnsi="宋体" w:cs="仿宋"/>
          <w:b/>
        </w:rPr>
        <w:t>第五条  保密文件的归还</w:t>
      </w:r>
    </w:p>
    <w:p>
      <w:pPr>
        <w:snapToGrid w:val="0"/>
        <w:spacing w:line="500" w:lineRule="exact"/>
        <w:ind w:firstLine="420" w:firstLineChars="200"/>
        <w:contextualSpacing/>
        <w:rPr>
          <w:rFonts w:ascii="宋体" w:hAnsi="宋体" w:cs="仿宋"/>
          <w:bCs/>
        </w:rPr>
      </w:pPr>
      <w:r>
        <w:rPr>
          <w:rFonts w:hint="eastAsia" w:ascii="宋体" w:hAnsi="宋体" w:cs="仿宋"/>
          <w:bCs/>
        </w:rPr>
        <w:t>对于本协议所涉及的由甲方送交给乙方的保密信息，以及乙方持有、占有或控制的保密信息及载有、包含或体现了保密信息的全部文件和其他资料连同复印件、复制品和其他形式的备份，在项目合作结束或者双方决定不再继续合作时，当甲方要求乙方返还保密信息文件、资料时，乙方应当在5日内返还所有保密信息载体所保存的文件、资料以及所有描述和概括该保密资料的文件。乙方无法返还的，经甲方同意可予以销毁。</w:t>
      </w:r>
    </w:p>
    <w:p>
      <w:pPr>
        <w:snapToGrid w:val="0"/>
        <w:spacing w:line="500" w:lineRule="exact"/>
        <w:ind w:firstLine="422" w:firstLineChars="200"/>
        <w:contextualSpacing/>
        <w:rPr>
          <w:rFonts w:ascii="宋体" w:hAnsi="宋体" w:cs="仿宋"/>
          <w:b/>
        </w:rPr>
      </w:pPr>
      <w:r>
        <w:rPr>
          <w:rFonts w:hint="eastAsia" w:ascii="宋体" w:hAnsi="宋体" w:cs="仿宋"/>
          <w:b/>
        </w:rPr>
        <w:t>第六条  违约和赔偿</w:t>
      </w:r>
    </w:p>
    <w:p>
      <w:pPr>
        <w:snapToGrid w:val="0"/>
        <w:spacing w:line="500" w:lineRule="exact"/>
        <w:ind w:firstLine="420" w:firstLineChars="200"/>
        <w:contextualSpacing/>
        <w:rPr>
          <w:rFonts w:ascii="宋体" w:hAnsi="宋体" w:cs="仿宋"/>
          <w:bCs/>
        </w:rPr>
      </w:pPr>
      <w:r>
        <w:rPr>
          <w:rFonts w:hint="eastAsia" w:ascii="宋体" w:hAnsi="宋体" w:cs="仿宋"/>
          <w:bCs/>
        </w:rPr>
        <w:t>1.乙方未遵守本协议所规定的保密义务，或使用保密信息谋利，应向甲方承担违约责任。乙方相关人士及与其相关的第三方的违约行为，视为乙方的违约行为。</w:t>
      </w:r>
    </w:p>
    <w:p>
      <w:pPr>
        <w:snapToGrid w:val="0"/>
        <w:spacing w:line="500" w:lineRule="exact"/>
        <w:ind w:firstLine="420" w:firstLineChars="200"/>
        <w:contextualSpacing/>
        <w:rPr>
          <w:rFonts w:ascii="宋体" w:hAnsi="宋体" w:cs="仿宋"/>
          <w:bCs/>
        </w:rPr>
      </w:pPr>
      <w:r>
        <w:rPr>
          <w:rFonts w:hint="eastAsia" w:ascii="宋体" w:hAnsi="宋体" w:cs="仿宋"/>
          <w:bCs/>
        </w:rPr>
        <w:t>2.若乙方违约，应就甲方因违约行为而遭受的一切经济损失承担全部赔偿责任；损失无法确定的，乙方所承担赔偿责任不低于本协议所附属之合同总金额的</w:t>
      </w:r>
      <w:r>
        <w:rPr>
          <w:rFonts w:ascii="宋体" w:hAnsi="宋体" w:cs="仿宋"/>
          <w:bCs/>
          <w:u w:val="single"/>
        </w:rPr>
        <w:t>10</w:t>
      </w:r>
      <w:r>
        <w:rPr>
          <w:rFonts w:hint="eastAsia" w:ascii="宋体" w:hAnsi="宋体" w:cs="仿宋"/>
          <w:bCs/>
        </w:rPr>
        <w:t>%。如乙方因违约而受有利益，则应将所得利益支付给甲方。</w:t>
      </w:r>
    </w:p>
    <w:p>
      <w:pPr>
        <w:snapToGrid w:val="0"/>
        <w:spacing w:line="500" w:lineRule="exact"/>
        <w:ind w:firstLine="422" w:firstLineChars="200"/>
        <w:contextualSpacing/>
        <w:rPr>
          <w:rFonts w:ascii="宋体" w:hAnsi="宋体" w:cs="仿宋"/>
          <w:b/>
        </w:rPr>
      </w:pPr>
      <w:r>
        <w:rPr>
          <w:rFonts w:hint="eastAsia" w:ascii="宋体" w:hAnsi="宋体" w:cs="仿宋"/>
          <w:b/>
        </w:rPr>
        <w:t>第七条  生效及有效期</w:t>
      </w:r>
    </w:p>
    <w:p>
      <w:pPr>
        <w:snapToGrid w:val="0"/>
        <w:spacing w:line="500" w:lineRule="exact"/>
        <w:ind w:firstLine="420" w:firstLineChars="200"/>
        <w:contextualSpacing/>
        <w:rPr>
          <w:rFonts w:ascii="宋体" w:hAnsi="宋体" w:cs="仿宋"/>
          <w:bCs/>
        </w:rPr>
      </w:pPr>
      <w:r>
        <w:rPr>
          <w:rFonts w:hint="eastAsia" w:ascii="宋体" w:hAnsi="宋体" w:cs="仿宋"/>
          <w:bCs/>
        </w:rPr>
        <w:t>本协议自双方法定代表人或其授权代表于本协议所附属之合同</w:t>
      </w:r>
      <w:r>
        <w:rPr>
          <w:rFonts w:ascii="宋体" w:hAnsi="宋体" w:cs="仿宋"/>
          <w:bCs/>
        </w:rPr>
        <w:t>签字</w:t>
      </w:r>
      <w:r>
        <w:rPr>
          <w:rFonts w:hint="eastAsia" w:ascii="宋体" w:hAnsi="宋体" w:cs="仿宋"/>
          <w:bCs/>
        </w:rPr>
        <w:t>并盖章之日起生效。本协议长期有效，乙方应遵守保密义务，除非本协议项下保密信息成为公开信息，或经甲方书面同意解密。</w:t>
      </w:r>
    </w:p>
    <w:p>
      <w:pPr>
        <w:snapToGrid w:val="0"/>
        <w:spacing w:line="500" w:lineRule="exact"/>
        <w:ind w:firstLine="422" w:firstLineChars="200"/>
        <w:contextualSpacing/>
        <w:rPr>
          <w:rFonts w:ascii="宋体" w:hAnsi="宋体" w:cs="仿宋"/>
          <w:b/>
        </w:rPr>
      </w:pPr>
      <w:r>
        <w:rPr>
          <w:rFonts w:hint="eastAsia" w:ascii="宋体" w:hAnsi="宋体" w:cs="仿宋"/>
          <w:b/>
        </w:rPr>
        <w:t>第八条  禁止公开宣布</w:t>
      </w:r>
    </w:p>
    <w:p>
      <w:pPr>
        <w:snapToGrid w:val="0"/>
        <w:spacing w:line="500" w:lineRule="exact"/>
        <w:ind w:firstLine="420" w:firstLineChars="200"/>
        <w:contextualSpacing/>
        <w:rPr>
          <w:rFonts w:ascii="宋体" w:hAnsi="宋体" w:cs="仿宋"/>
          <w:bCs/>
        </w:rPr>
      </w:pPr>
      <w:r>
        <w:rPr>
          <w:rFonts w:hint="eastAsia" w:ascii="宋体" w:hAnsi="宋体" w:cs="仿宋"/>
          <w:bCs/>
        </w:rPr>
        <w:t>双方同意，对双方间的就本项目或本协议的任何讨论或协商的内容，任何提出的安排或协议，以及任何与以上内容相关的其他信息进行严格的保密，并且不公开披露或向第三方披露。双方同意，双方均不能、也不允许任何双方的关联公司、子公司、个人或其他实体，在没有事先征得另一方书面同意前，就此类安排或协议的讨论以及其他正在讨论或协商的商业和操作计划做任何公开宣布，无论是以新闻还是其他形式进行发布。</w:t>
      </w:r>
    </w:p>
    <w:p>
      <w:r>
        <w:rPr>
          <w:rFonts w:hint="eastAsia" w:ascii="宋体" w:hAnsi="宋体" w:cs="仿宋"/>
          <w:b/>
        </w:rPr>
        <w:t>甲方</w:t>
      </w:r>
      <w:r>
        <w:rPr>
          <w:rFonts w:hint="eastAsia" w:ascii="宋体" w:hAnsi="宋体" w:cs="仿宋"/>
          <w:b/>
          <w:lang w:val="en-US" w:eastAsia="zh-CN"/>
        </w:rPr>
        <w:t>(盖公章)</w:t>
      </w:r>
      <w:r>
        <w:rPr>
          <w:rFonts w:hint="eastAsia" w:ascii="宋体" w:hAnsi="宋体" w:cs="仿宋"/>
          <w:b/>
        </w:rPr>
        <w:t>：</w:t>
      </w:r>
      <w:r>
        <w:rPr>
          <w:rFonts w:hint="eastAsia" w:ascii="宋体" w:hAnsi="宋体" w:cs="仿宋"/>
          <w:b/>
          <w:lang w:val="en-US" w:eastAsia="zh-CN"/>
        </w:rPr>
        <w:t xml:space="preserve">                         </w:t>
      </w:r>
      <w:r>
        <w:rPr>
          <w:rFonts w:hint="eastAsia" w:ascii="宋体" w:hAnsi="宋体" w:cs="仿宋"/>
          <w:b/>
        </w:rPr>
        <w:t>乙方</w:t>
      </w:r>
      <w:r>
        <w:rPr>
          <w:rFonts w:hint="eastAsia" w:ascii="宋体" w:hAnsi="宋体" w:cs="仿宋"/>
          <w:b/>
          <w:lang w:val="en-US" w:eastAsia="zh-CN"/>
        </w:rPr>
        <w:t>(盖公章)</w:t>
      </w:r>
      <w:r>
        <w:rPr>
          <w:rFonts w:hint="eastAsia" w:ascii="宋体" w:hAnsi="宋体" w:cs="仿宋"/>
          <w:b/>
        </w:rPr>
        <w:t>：</w:t>
      </w:r>
    </w:p>
    <w:p>
      <w:pPr>
        <w:spacing w:line="500" w:lineRule="exact"/>
        <w:ind w:left="0" w:leftChars="0" w:firstLine="0" w:firstLineChars="0"/>
        <w:rPr>
          <w:rFonts w:hint="eastAsia" w:ascii="宋体" w:hAnsi="宋体" w:eastAsia="宋体" w:cs="仿宋"/>
          <w:b/>
          <w:lang w:eastAsia="zh-CN"/>
        </w:rPr>
      </w:pPr>
      <w:r>
        <w:rPr>
          <w:rFonts w:hint="eastAsia" w:ascii="宋体" w:hAnsi="宋体" w:cs="仿宋"/>
          <w:b/>
          <w:lang w:val="en-US" w:eastAsia="zh-CN"/>
        </w:rPr>
        <w:t>项目</w:t>
      </w:r>
      <w:r>
        <w:rPr>
          <w:rFonts w:hint="eastAsia" w:ascii="宋体" w:hAnsi="宋体" w:cs="仿宋"/>
          <w:b/>
        </w:rPr>
        <w:t>负责人</w:t>
      </w:r>
      <w:r>
        <w:rPr>
          <w:rFonts w:hint="eastAsia" w:ascii="宋体" w:hAnsi="宋体" w:cs="仿宋"/>
          <w:b/>
          <w:lang w:val="en-US" w:eastAsia="zh-CN"/>
        </w:rPr>
        <w:t>签字</w:t>
      </w:r>
      <w:r>
        <w:rPr>
          <w:rFonts w:hint="eastAsia" w:ascii="宋体" w:hAnsi="宋体" w:cs="仿宋"/>
          <w:b/>
        </w:rPr>
        <w:t>：</w:t>
      </w:r>
      <w:r>
        <w:rPr>
          <w:rFonts w:hint="eastAsia" w:ascii="宋体" w:hAnsi="宋体" w:cs="仿宋"/>
          <w:b/>
          <w:u w:val="single"/>
          <w:lang w:val="en-US" w:eastAsia="zh-CN"/>
        </w:rPr>
        <w:t xml:space="preserve">         </w:t>
      </w:r>
      <w:r>
        <w:rPr>
          <w:rFonts w:hint="eastAsia" w:ascii="宋体" w:hAnsi="宋体" w:cs="仿宋"/>
          <w:b/>
          <w:lang w:val="en-US" w:eastAsia="zh-CN"/>
        </w:rPr>
        <w:t xml:space="preserve">              项目</w:t>
      </w:r>
      <w:r>
        <w:rPr>
          <w:rFonts w:hint="eastAsia" w:ascii="宋体" w:hAnsi="宋体" w:cs="仿宋"/>
          <w:b/>
        </w:rPr>
        <w:t>负责人</w:t>
      </w:r>
      <w:r>
        <w:rPr>
          <w:rFonts w:hint="eastAsia" w:ascii="宋体" w:hAnsi="宋体" w:cs="仿宋"/>
          <w:b/>
          <w:lang w:val="en-US" w:eastAsia="zh-CN"/>
        </w:rPr>
        <w:t>签字</w:t>
      </w:r>
      <w:r>
        <w:rPr>
          <w:rFonts w:hint="eastAsia" w:ascii="宋体" w:hAnsi="宋体" w:cs="仿宋"/>
          <w:b/>
        </w:rPr>
        <w:t>：</w:t>
      </w:r>
      <w:r>
        <w:rPr>
          <w:rFonts w:hint="eastAsia" w:ascii="宋体" w:hAnsi="宋体" w:cs="仿宋"/>
          <w:b/>
          <w:u w:val="single"/>
          <w:lang w:val="en-US" w:eastAsia="zh-CN"/>
        </w:rPr>
        <w:t xml:space="preserve">         </w:t>
      </w:r>
    </w:p>
    <w:p>
      <w:r>
        <w:rPr>
          <w:rFonts w:hint="eastAsia" w:ascii="宋体" w:hAnsi="宋体" w:cs="仿宋"/>
          <w:b/>
          <w:lang w:val="en-US" w:eastAsia="zh-CN"/>
        </w:rPr>
        <w:t>日期</w:t>
      </w:r>
      <w:r>
        <w:rPr>
          <w:rFonts w:hint="eastAsia" w:ascii="宋体" w:hAnsi="宋体" w:cs="仿宋"/>
          <w:b/>
        </w:rPr>
        <w:t>：</w:t>
      </w:r>
      <w:r>
        <w:rPr>
          <w:rFonts w:hint="eastAsia" w:ascii="宋体" w:hAnsi="宋体" w:cs="仿宋"/>
          <w:b/>
          <w:u w:val="single"/>
          <w:lang w:val="en-US" w:eastAsia="zh-CN"/>
        </w:rPr>
        <w:t xml:space="preserve">         </w:t>
      </w:r>
      <w:r>
        <w:rPr>
          <w:rFonts w:hint="eastAsia" w:ascii="宋体" w:hAnsi="宋体" w:cs="仿宋"/>
          <w:b/>
          <w:lang w:val="en-US" w:eastAsia="zh-CN"/>
        </w:rPr>
        <w:t xml:space="preserve">                        日期</w:t>
      </w:r>
      <w:r>
        <w:rPr>
          <w:rFonts w:hint="eastAsia" w:ascii="宋体" w:hAnsi="宋体" w:cs="仿宋"/>
          <w:b/>
        </w:rPr>
        <w:t>：</w:t>
      </w:r>
      <w:r>
        <w:rPr>
          <w:rFonts w:hint="eastAsia" w:ascii="宋体" w:hAnsi="宋体" w:cs="仿宋"/>
          <w:b/>
          <w:u w:val="single"/>
          <w:lang w:val="en-US" w:eastAsia="zh-CN"/>
        </w:rPr>
        <w:t xml:space="preserve">         </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br w:type="page"/>
      </w:r>
    </w:p>
    <w:p>
      <w:pPr>
        <w:pStyle w:val="4"/>
        <w:bidi w:val="0"/>
        <w:rPr>
          <w:rFonts w:hint="default"/>
          <w:lang w:val="en-US" w:eastAsia="zh-CN"/>
        </w:rPr>
      </w:pPr>
      <w:r>
        <w:rPr>
          <w:rFonts w:hint="eastAsia"/>
          <w:lang w:val="en-US" w:eastAsia="zh-CN"/>
        </w:rPr>
        <w:t>附件二：巡检内容概要</w:t>
      </w:r>
    </w:p>
    <w:p>
      <w:pPr>
        <w:bidi w:val="0"/>
        <w:ind w:firstLine="562" w:firstLineChars="200"/>
        <w:rPr>
          <w:rFonts w:hint="default" w:eastAsiaTheme="minorEastAsia"/>
          <w:b/>
          <w:bCs/>
          <w:sz w:val="28"/>
          <w:szCs w:val="32"/>
          <w:lang w:val="en-US" w:eastAsia="zh-CN"/>
        </w:rPr>
      </w:pPr>
      <w:r>
        <w:rPr>
          <w:rFonts w:hint="eastAsia"/>
          <w:b/>
          <w:bCs/>
          <w:sz w:val="28"/>
          <w:szCs w:val="32"/>
          <w:lang w:val="en-US" w:eastAsia="zh-CN"/>
        </w:rPr>
        <w:t>一、系统检查</w:t>
      </w:r>
    </w:p>
    <w:p>
      <w:pPr>
        <w:bidi w:val="0"/>
        <w:ind w:firstLine="420" w:firstLineChars="200"/>
        <w:rPr>
          <w:rFonts w:hint="eastAsia"/>
        </w:rPr>
      </w:pPr>
      <w:r>
        <w:rPr>
          <w:rFonts w:hint="eastAsia"/>
        </w:rPr>
        <w:t>系统主要包括</w:t>
      </w:r>
      <w:r>
        <w:rPr>
          <w:rFonts w:hint="eastAsia"/>
          <w:u w:val="single"/>
          <w:lang w:val="en-US" w:eastAsia="zh-CN"/>
        </w:rPr>
        <w:t xml:space="preserve">       </w:t>
      </w:r>
      <w:r>
        <w:rPr>
          <w:rFonts w:hint="eastAsia"/>
        </w:rPr>
        <w:t>个数据库，具体情况如下：</w:t>
      </w:r>
    </w:p>
    <w:p>
      <w:pPr>
        <w:bidi w:val="0"/>
        <w:ind w:firstLine="420" w:firstLineChars="200"/>
        <w:rPr>
          <w:rFonts w:hint="eastAsia"/>
        </w:rPr>
      </w:pPr>
    </w:p>
    <w:tbl>
      <w:tblPr>
        <w:tblStyle w:val="42"/>
        <w:tblW w:w="46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069"/>
        <w:gridCol w:w="4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single" w:color="auto" w:sz="12" w:space="0"/>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数据库名称</w:t>
            </w:r>
          </w:p>
        </w:tc>
        <w:tc>
          <w:tcPr>
            <w:tcW w:w="3043" w:type="pct"/>
            <w:tcBorders>
              <w:top w:val="single" w:color="auto" w:sz="12" w:space="0"/>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数据库实例名</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应用名称</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应用类型OLTP/DSS/Batch</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开发工具</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应用简介</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RDBMS 版本</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CRS 版本</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所有数据文件所占磁盘空间</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SGA target size</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DB_BLOCK Size</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表空间个数</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数据文件个数</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控制文件个数</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日志文件大小</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日志组数目</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每组日志文件成员数量</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归档方式</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6"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并发用户量</w:t>
            </w:r>
          </w:p>
        </w:tc>
        <w:tc>
          <w:tcPr>
            <w:tcW w:w="3043" w:type="pct"/>
            <w:tcBorders>
              <w:top w:val="nil"/>
              <w:left w:val="nil"/>
              <w:bottom w:val="single" w:color="auto" w:sz="6" w:space="0"/>
              <w:right w:val="single" w:color="auto" w:sz="12" w:space="0"/>
            </w:tcBorders>
            <w:shd w:val="clear" w:color="auto" w:fill="FFFFFF"/>
            <w:noWrap w:val="0"/>
            <w:tcMar>
              <w:left w:w="105" w:type="dxa"/>
              <w:right w:w="105" w:type="dxa"/>
            </w:tcMar>
            <w:vAlign w:val="center"/>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956" w:type="pct"/>
            <w:tcBorders>
              <w:top w:val="nil"/>
              <w:left w:val="single" w:color="auto" w:sz="12" w:space="0"/>
              <w:bottom w:val="single" w:color="auto" w:sz="12" w:space="0"/>
              <w:right w:val="single" w:color="auto" w:sz="6" w:space="0"/>
            </w:tcBorders>
            <w:shd w:val="clear" w:color="auto" w:fill="F2F2F2"/>
            <w:noWrap w:val="0"/>
            <w:tcMar>
              <w:left w:w="105" w:type="dxa"/>
              <w:right w:w="105" w:type="dxa"/>
            </w:tcMar>
            <w:vAlign w:val="center"/>
          </w:tcPr>
          <w:p>
            <w:pPr>
              <w:bidi w:val="0"/>
              <w:ind w:left="0" w:leftChars="0" w:firstLine="0" w:firstLineChars="0"/>
            </w:pPr>
            <w:r>
              <w:rPr>
                <w:rFonts w:hint="eastAsia"/>
              </w:rPr>
              <w:t>性能需求</w:t>
            </w:r>
          </w:p>
        </w:tc>
        <w:tc>
          <w:tcPr>
            <w:tcW w:w="3043" w:type="pct"/>
            <w:tcBorders>
              <w:top w:val="nil"/>
              <w:left w:val="nil"/>
              <w:bottom w:val="single" w:color="auto" w:sz="12" w:space="0"/>
              <w:right w:val="single" w:color="auto" w:sz="12" w:space="0"/>
            </w:tcBorders>
            <w:shd w:val="clear" w:color="auto" w:fill="FFFFFF"/>
            <w:noWrap w:val="0"/>
            <w:tcMar>
              <w:left w:w="105" w:type="dxa"/>
              <w:right w:w="105" w:type="dxa"/>
            </w:tcMar>
            <w:vAlign w:val="center"/>
          </w:tcPr>
          <w:p>
            <w:pPr>
              <w:bidi w:val="0"/>
              <w:rPr>
                <w:rFonts w:hint="eastAsia"/>
              </w:rPr>
            </w:pPr>
          </w:p>
        </w:tc>
      </w:tr>
    </w:tbl>
    <w:p>
      <w:pPr>
        <w:bidi w:val="0"/>
        <w:ind w:firstLine="562" w:firstLineChars="200"/>
        <w:rPr>
          <w:rFonts w:hint="eastAsia"/>
          <w:b/>
          <w:bCs/>
          <w:sz w:val="28"/>
          <w:szCs w:val="32"/>
          <w:lang w:val="en-US" w:eastAsia="zh-CN"/>
        </w:rPr>
      </w:pPr>
      <w:r>
        <w:rPr>
          <w:rFonts w:hint="eastAsia"/>
          <w:b/>
          <w:bCs/>
          <w:sz w:val="28"/>
          <w:szCs w:val="32"/>
          <w:lang w:val="en-US" w:eastAsia="zh-CN"/>
        </w:rPr>
        <w:t>二、检查范围</w:t>
      </w:r>
    </w:p>
    <w:tbl>
      <w:tblPr>
        <w:tblStyle w:val="42"/>
        <w:tblW w:w="78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058"/>
        <w:gridCol w:w="3175"/>
        <w:gridCol w:w="2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ind w:left="0" w:leftChars="0" w:firstLine="0" w:firstLineChars="0"/>
              <w:jc w:val="center"/>
            </w:pPr>
            <w:r>
              <w:rPr>
                <w:rFonts w:hint="eastAsia"/>
              </w:rPr>
              <w:t>检查方面</w:t>
            </w:r>
          </w:p>
        </w:tc>
        <w:tc>
          <w:tcPr>
            <w:tcW w:w="317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具体检查内容</w:t>
            </w:r>
          </w:p>
        </w:tc>
        <w:tc>
          <w:tcPr>
            <w:tcW w:w="262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restar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ind w:left="0" w:leftChars="0" w:firstLine="0" w:firstLineChars="0"/>
              <w:jc w:val="center"/>
            </w:pPr>
            <w:r>
              <w:rPr>
                <w:rFonts w:hint="eastAsia"/>
              </w:rPr>
              <w:t>硬件配置</w:t>
            </w: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主机配置</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共享内存参数</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信号量</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操作系统与数据库相关主要参数</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操作系统数据库相关要求补丁</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restar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ind w:left="0" w:leftChars="0" w:firstLine="0" w:firstLineChars="0"/>
              <w:jc w:val="center"/>
            </w:pPr>
            <w:r>
              <w:rPr>
                <w:rFonts w:hint="eastAsia"/>
              </w:rPr>
              <w:t>系统配置</w:t>
            </w: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硬盘可用空间</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CPU利用率</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数据库版本</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restar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ind w:left="0" w:leftChars="0" w:firstLine="0" w:firstLineChars="0"/>
              <w:jc w:val="center"/>
            </w:pPr>
            <w:r>
              <w:rPr>
                <w:rFonts w:hint="eastAsia"/>
              </w:rPr>
              <w:t>数据库配置</w:t>
            </w: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数据库产品选项</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数据库参数</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运行日志和跟踪文件</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控制文件</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Redo log文件</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归档Redo log文件</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数据文件</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表空间</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回滚段管理</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安全性管理</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ind w:left="0" w:leftChars="0" w:firstLine="0" w:firstLineChars="0"/>
              <w:jc w:val="center"/>
            </w:pPr>
            <w:r>
              <w:rPr>
                <w:rFonts w:hint="eastAsia"/>
              </w:rPr>
              <w:t>数据库简单风险评估</w:t>
            </w: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监听器的设置</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restar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ind w:left="0" w:leftChars="0" w:firstLine="0" w:firstLineChars="0"/>
              <w:jc w:val="center"/>
            </w:pPr>
            <w:r>
              <w:rPr>
                <w:rFonts w:hint="eastAsia"/>
              </w:rPr>
              <w:t>数据库sql*net配置</w:t>
            </w: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SQL*Net设置</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TNSNAMES设置</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数据库各项命中率</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restar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ind w:left="0" w:leftChars="0" w:firstLine="0" w:firstLineChars="0"/>
              <w:jc w:val="center"/>
            </w:pPr>
            <w:r>
              <w:rPr>
                <w:rFonts w:hint="eastAsia"/>
              </w:rPr>
              <w:t>数据库性能</w:t>
            </w: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等待事件</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AWR统计信息分析</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数据库I/O性能</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索引/行迁移/行链接</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Sort信息统计</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Enqueue等待分析</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Latch分析</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Resource Limit分析</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Top SQL 语句</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备份</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ind w:left="0" w:leftChars="0" w:firstLine="0" w:firstLineChars="0"/>
            </w:pPr>
            <w:r>
              <w:rPr>
                <w:rFonts w:hint="eastAsia"/>
              </w:rPr>
              <w:t>恢复</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058" w:type="dxa"/>
            <w:vMerge w:val="restar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ind w:left="0" w:leftChars="0" w:firstLine="0" w:firstLineChars="0"/>
              <w:jc w:val="center"/>
            </w:pPr>
            <w:r>
              <w:rPr>
                <w:rFonts w:hint="eastAsia"/>
              </w:rPr>
              <w:t>数据库备份策略评估</w:t>
            </w:r>
          </w:p>
        </w:tc>
        <w:tc>
          <w:tcPr>
            <w:tcW w:w="3175" w:type="dxa"/>
            <w:vMerge w:val="restart"/>
            <w:tcBorders>
              <w:top w:val="nil"/>
              <w:left w:val="nil"/>
              <w:right w:val="single" w:color="auto" w:sz="6" w:space="0"/>
            </w:tcBorders>
            <w:shd w:val="clear" w:color="auto" w:fill="FFFFFF"/>
            <w:noWrap w:val="0"/>
            <w:tcMar>
              <w:left w:w="105" w:type="dxa"/>
              <w:right w:w="105" w:type="dxa"/>
            </w:tcMar>
            <w:vAlign w:val="center"/>
          </w:tcPr>
          <w:p>
            <w:pPr>
              <w:bidi w:val="0"/>
              <w:ind w:left="0" w:leftChars="0" w:firstLine="0" w:firstLineChars="0"/>
            </w:pPr>
            <w:r>
              <w:rPr>
                <w:rFonts w:hint="eastAsia"/>
              </w:rPr>
              <w:t>根据客户要求检查</w:t>
            </w:r>
            <w:r>
              <w:rPr>
                <w:rFonts w:hint="eastAsia"/>
                <w:u w:val="single"/>
                <w:lang w:val="en-US" w:eastAsia="zh-CN"/>
              </w:rPr>
              <w:t xml:space="preserve">      </w:t>
            </w:r>
            <w:r>
              <w:rPr>
                <w:rFonts w:hint="eastAsia"/>
              </w:rPr>
              <w:t>项</w:t>
            </w: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058"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jc w:val="center"/>
              <w:rPr>
                <w:rFonts w:hint="eastAsia"/>
              </w:rPr>
            </w:pPr>
          </w:p>
        </w:tc>
        <w:tc>
          <w:tcPr>
            <w:tcW w:w="3175" w:type="dxa"/>
            <w:vMerge w:val="continue"/>
            <w:tcBorders>
              <w:left w:val="nil"/>
              <w:bottom w:val="single" w:color="auto" w:sz="6" w:space="0"/>
              <w:right w:val="single" w:color="auto" w:sz="6" w:space="0"/>
            </w:tcBorders>
            <w:shd w:val="clear" w:color="auto" w:fill="FFFFFF"/>
            <w:noWrap w:val="0"/>
            <w:tcMar>
              <w:left w:w="105" w:type="dxa"/>
              <w:right w:w="105" w:type="dxa"/>
            </w:tcMar>
            <w:vAlign w:val="center"/>
          </w:tcPr>
          <w:p>
            <w:pPr>
              <w:bidi w:val="0"/>
              <w:rPr>
                <w:rFonts w:hint="eastAsia"/>
              </w:rPr>
            </w:pP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3" w:hRule="atLeast"/>
        </w:trPr>
        <w:tc>
          <w:tcPr>
            <w:tcW w:w="2058"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bidi w:val="0"/>
              <w:ind w:left="0" w:leftChars="0" w:firstLine="0" w:firstLineChars="0"/>
              <w:jc w:val="center"/>
            </w:pPr>
            <w:r>
              <w:rPr>
                <w:rFonts w:hint="eastAsia"/>
              </w:rPr>
              <w:t>数据库特别关注点检查</w:t>
            </w:r>
          </w:p>
        </w:tc>
        <w:tc>
          <w:tcPr>
            <w:tcW w:w="31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bidi w:val="0"/>
              <w:rPr>
                <w:rFonts w:hint="eastAsia"/>
              </w:rPr>
            </w:pPr>
          </w:p>
        </w:tc>
        <w:tc>
          <w:tcPr>
            <w:tcW w:w="2625" w:type="dxa"/>
            <w:tcBorders>
              <w:top w:val="nil"/>
              <w:left w:val="nil"/>
              <w:bottom w:val="single" w:color="auto" w:sz="6" w:space="0"/>
              <w:right w:val="single" w:color="auto" w:sz="6" w:space="0"/>
            </w:tcBorders>
            <w:shd w:val="clear" w:color="auto" w:fill="FFFFFF"/>
            <w:noWrap w:val="0"/>
            <w:tcMar>
              <w:left w:w="105" w:type="dxa"/>
              <w:right w:w="105" w:type="dxa"/>
            </w:tcMar>
            <w:vAlign w:val="top"/>
          </w:tcPr>
          <w:p>
            <w:pPr>
              <w:bidi w:val="0"/>
              <w:rPr>
                <w:rFonts w:hint="eastAsia"/>
              </w:rPr>
            </w:pPr>
          </w:p>
        </w:tc>
      </w:tr>
    </w:tbl>
    <w:p>
      <w:pPr>
        <w:rPr>
          <w:rFonts w:hint="default"/>
          <w:lang w:val="en-US" w:eastAsia="zh-CN"/>
        </w:rPr>
      </w:pPr>
    </w:p>
    <w:p>
      <w:pPr>
        <w:bidi w:val="0"/>
        <w:ind w:firstLine="562" w:firstLineChars="200"/>
        <w:rPr>
          <w:rFonts w:hint="eastAsia"/>
          <w:b/>
          <w:bCs/>
          <w:sz w:val="28"/>
          <w:szCs w:val="32"/>
          <w:lang w:val="en-US" w:eastAsia="zh-CN"/>
        </w:rPr>
      </w:pPr>
      <w:r>
        <w:rPr>
          <w:rFonts w:hint="eastAsia"/>
          <w:b/>
          <w:bCs/>
          <w:sz w:val="28"/>
          <w:szCs w:val="32"/>
          <w:lang w:val="en-US" w:eastAsia="zh-CN"/>
        </w:rPr>
        <w:t>三、其他主要内容目录</w:t>
      </w:r>
    </w:p>
    <w:p>
      <w:pPr>
        <w:pStyle w:val="13"/>
        <w:rPr>
          <w:rFonts w:hint="default"/>
          <w:sz w:val="24"/>
          <w:szCs w:val="24"/>
          <w:lang w:val="en-US" w:eastAsia="zh-CN"/>
        </w:rPr>
      </w:pPr>
      <w:r>
        <w:rPr>
          <w:rFonts w:hint="default"/>
          <w:sz w:val="24"/>
          <w:szCs w:val="24"/>
          <w:lang w:val="en-US" w:eastAsia="zh-CN"/>
        </w:rPr>
        <w:t>1. 硬件配置</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主机配置</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eastAsia"/>
          <w:sz w:val="24"/>
          <w:szCs w:val="24"/>
          <w:lang w:val="en-US" w:eastAsia="zh-CN"/>
        </w:rPr>
        <w:t>存储配置</w:t>
      </w:r>
    </w:p>
    <w:p>
      <w:pPr>
        <w:pStyle w:val="13"/>
        <w:rPr>
          <w:rFonts w:hint="default"/>
          <w:sz w:val="24"/>
          <w:szCs w:val="24"/>
          <w:lang w:val="en-US" w:eastAsia="zh-CN"/>
        </w:rPr>
      </w:pPr>
      <w:r>
        <w:rPr>
          <w:rFonts w:hint="default"/>
          <w:sz w:val="24"/>
          <w:szCs w:val="24"/>
          <w:lang w:val="en-US" w:eastAsia="zh-CN"/>
        </w:rPr>
        <w:t>2. 系统配置</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操作系统数据库相关要求补丁</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硬盘可用空间</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CPU 利用率</w:t>
      </w:r>
      <w:r>
        <w:rPr>
          <w:rFonts w:hint="default"/>
          <w:sz w:val="24"/>
          <w:szCs w:val="24"/>
          <w:lang w:val="en-US" w:eastAsia="zh-CN"/>
        </w:rPr>
        <w:tab/>
      </w:r>
    </w:p>
    <w:p>
      <w:pPr>
        <w:pStyle w:val="13"/>
        <w:rPr>
          <w:rFonts w:hint="default"/>
          <w:sz w:val="24"/>
          <w:szCs w:val="24"/>
          <w:lang w:val="en-US" w:eastAsia="zh-CN"/>
        </w:rPr>
      </w:pPr>
      <w:r>
        <w:rPr>
          <w:rFonts w:hint="default"/>
          <w:sz w:val="24"/>
          <w:szCs w:val="24"/>
          <w:lang w:val="en-US" w:eastAsia="zh-CN"/>
        </w:rPr>
        <w:t>3. 数据库配置</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数据库版本和单独补丁</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CRS版本和单独补丁</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ORACLECLUSTER配置</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数据库产品选项</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初始化参数文件</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CRS日志文件</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RDBMS运行日志和跟踪文件</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控制文件</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Redolog 文件</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归档Redo log 文件</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数据文件</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表空间</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回滚段管理</w:t>
      </w:r>
    </w:p>
    <w:p>
      <w:pPr>
        <w:pStyle w:val="13"/>
        <w:rPr>
          <w:rFonts w:hint="default"/>
          <w:sz w:val="24"/>
          <w:szCs w:val="24"/>
          <w:lang w:val="en-US" w:eastAsia="zh-CN"/>
        </w:rPr>
      </w:pPr>
      <w:r>
        <w:rPr>
          <w:rFonts w:hint="default"/>
          <w:sz w:val="24"/>
          <w:szCs w:val="24"/>
          <w:lang w:val="en-US" w:eastAsia="zh-CN"/>
        </w:rPr>
        <w:t>4. 数据库简单风险评估</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安全性管理</w:t>
      </w:r>
    </w:p>
    <w:p>
      <w:pPr>
        <w:pStyle w:val="13"/>
        <w:rPr>
          <w:rFonts w:hint="default"/>
          <w:sz w:val="24"/>
          <w:szCs w:val="24"/>
          <w:lang w:val="en-US" w:eastAsia="zh-CN"/>
        </w:rPr>
      </w:pPr>
      <w:r>
        <w:rPr>
          <w:rFonts w:hint="default"/>
          <w:sz w:val="24"/>
          <w:szCs w:val="24"/>
          <w:lang w:val="en-US" w:eastAsia="zh-CN"/>
        </w:rPr>
        <w:t>5. SqlNet 概况</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监听器Listener</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SQL*Net</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TNSNAMES</w:t>
      </w:r>
    </w:p>
    <w:p>
      <w:pPr>
        <w:pStyle w:val="13"/>
        <w:rPr>
          <w:rFonts w:hint="default"/>
          <w:sz w:val="24"/>
          <w:szCs w:val="24"/>
          <w:lang w:val="en-US" w:eastAsia="zh-CN"/>
        </w:rPr>
      </w:pPr>
      <w:r>
        <w:rPr>
          <w:rFonts w:hint="default"/>
          <w:sz w:val="24"/>
          <w:szCs w:val="24"/>
          <w:lang w:val="en-US" w:eastAsia="zh-CN"/>
        </w:rPr>
        <w:t>6. 数据库性能</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数据库各项基于时间模型的统计信息</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数据库负荷压力分析</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各项命中率</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等待事件</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统计信息分析</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数据库I/O性能</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索引/行迁移/行链</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Enqueue等待分析</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Latch分析</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Resource Limit分析</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Top SQL语句</w:t>
      </w:r>
    </w:p>
    <w:p>
      <w:pPr>
        <w:pStyle w:val="13"/>
        <w:rPr>
          <w:rFonts w:hint="default"/>
          <w:sz w:val="24"/>
          <w:szCs w:val="24"/>
          <w:lang w:val="en-US" w:eastAsia="zh-CN"/>
        </w:rPr>
      </w:pPr>
      <w:r>
        <w:rPr>
          <w:rFonts w:hint="default"/>
          <w:sz w:val="24"/>
          <w:szCs w:val="24"/>
          <w:lang w:val="en-US" w:eastAsia="zh-CN"/>
        </w:rPr>
        <w:t>7. 数据库备份策略评估</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备份</w:t>
      </w:r>
    </w:p>
    <w:p>
      <w:pPr>
        <w:pStyle w:val="13"/>
        <w:keepNext w:val="0"/>
        <w:keepLines w:val="0"/>
        <w:pageBreakBefore w:val="0"/>
        <w:widowControl w:val="0"/>
        <w:numPr>
          <w:ilvl w:val="0"/>
          <w:numId w:val="18"/>
        </w:numPr>
        <w:kinsoku/>
        <w:wordWrap/>
        <w:overflowPunct/>
        <w:topLinePunct w:val="0"/>
        <w:autoSpaceDE/>
        <w:autoSpaceDN/>
        <w:bidi w:val="0"/>
        <w:adjustRightInd w:val="0"/>
        <w:snapToGrid/>
        <w:ind w:left="0" w:leftChars="0" w:firstLine="480" w:firstLineChars="200"/>
        <w:jc w:val="left"/>
        <w:textAlignment w:val="baseline"/>
        <w:rPr>
          <w:rFonts w:hint="default"/>
          <w:sz w:val="24"/>
          <w:szCs w:val="24"/>
          <w:lang w:val="en-US" w:eastAsia="zh-CN"/>
        </w:rPr>
      </w:pPr>
      <w:r>
        <w:rPr>
          <w:rFonts w:hint="default"/>
          <w:sz w:val="24"/>
          <w:szCs w:val="24"/>
          <w:lang w:val="en-US" w:eastAsia="zh-CN"/>
        </w:rPr>
        <w:t>恢复</w:t>
      </w:r>
    </w:p>
    <w:p>
      <w:pPr>
        <w:pStyle w:val="13"/>
        <w:rPr>
          <w:rFonts w:hint="default"/>
          <w:sz w:val="24"/>
          <w:szCs w:val="24"/>
          <w:lang w:val="en-US" w:eastAsia="zh-CN"/>
        </w:rPr>
      </w:pPr>
      <w:r>
        <w:rPr>
          <w:rFonts w:hint="default"/>
          <w:sz w:val="24"/>
          <w:szCs w:val="24"/>
          <w:lang w:val="en-US" w:eastAsia="zh-CN"/>
        </w:rPr>
        <w:t>8. 数据库特别关注点检查</w:t>
      </w:r>
    </w:p>
    <w:p>
      <w:pPr>
        <w:pStyle w:val="13"/>
        <w:rPr>
          <w:rFonts w:hint="default"/>
          <w:sz w:val="24"/>
          <w:szCs w:val="24"/>
          <w:lang w:val="en-US" w:eastAsia="zh-CN"/>
        </w:rPr>
      </w:pPr>
      <w:r>
        <w:rPr>
          <w:rFonts w:hint="default"/>
          <w:sz w:val="24"/>
          <w:szCs w:val="24"/>
          <w:lang w:val="en-US" w:eastAsia="zh-CN"/>
        </w:rPr>
        <w:t>9. 检查总结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0" w:usb3="00000000" w:csb0="00000093"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PL细上海宋Uni">
    <w:altName w:val="Arial"/>
    <w:panose1 w:val="00000000000000000000"/>
    <w:charset w:val="00"/>
    <w:family w:val="swiss"/>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C5228"/>
    <w:multiLevelType w:val="singleLevel"/>
    <w:tmpl w:val="91BC5228"/>
    <w:lvl w:ilvl="0" w:tentative="0">
      <w:start w:val="1"/>
      <w:numFmt w:val="decimal"/>
      <w:lvlText w:val="%1)"/>
      <w:lvlJc w:val="left"/>
      <w:pPr>
        <w:ind w:left="425" w:hanging="425"/>
      </w:pPr>
      <w:rPr>
        <w:rFonts w:hint="default"/>
      </w:rPr>
    </w:lvl>
  </w:abstractNum>
  <w:abstractNum w:abstractNumId="1">
    <w:nsid w:val="A1C25099"/>
    <w:multiLevelType w:val="singleLevel"/>
    <w:tmpl w:val="A1C25099"/>
    <w:lvl w:ilvl="0" w:tentative="0">
      <w:start w:val="1"/>
      <w:numFmt w:val="decimal"/>
      <w:lvlText w:val="%1)"/>
      <w:lvlJc w:val="left"/>
      <w:pPr>
        <w:ind w:left="425" w:hanging="425"/>
      </w:pPr>
      <w:rPr>
        <w:rFonts w:hint="default"/>
      </w:rPr>
    </w:lvl>
  </w:abstractNum>
  <w:abstractNum w:abstractNumId="2">
    <w:nsid w:val="E9067775"/>
    <w:multiLevelType w:val="singleLevel"/>
    <w:tmpl w:val="E9067775"/>
    <w:lvl w:ilvl="0" w:tentative="0">
      <w:start w:val="1"/>
      <w:numFmt w:val="bullet"/>
      <w:lvlText w:val=""/>
      <w:lvlJc w:val="left"/>
      <w:pPr>
        <w:ind w:left="420" w:hanging="420"/>
      </w:pPr>
      <w:rPr>
        <w:rFonts w:hint="default" w:ascii="Wingdings" w:hAnsi="Wingdings"/>
      </w:rPr>
    </w:lvl>
  </w:abstractNum>
  <w:abstractNum w:abstractNumId="3">
    <w:nsid w:val="00000001"/>
    <w:multiLevelType w:val="multilevel"/>
    <w:tmpl w:val="00000001"/>
    <w:lvl w:ilvl="0" w:tentative="0">
      <w:start w:val="1"/>
      <w:numFmt w:val="decimal"/>
      <w:lvlText w:val="第%1章"/>
      <w:lvlJc w:val="center"/>
      <w:pPr>
        <w:tabs>
          <w:tab w:val="left" w:pos="0"/>
        </w:tabs>
        <w:ind w:firstLine="288"/>
      </w:pPr>
      <w:rPr>
        <w:rFonts w:hint="eastAsia"/>
      </w:rPr>
    </w:lvl>
    <w:lvl w:ilvl="1" w:tentative="0">
      <w:start w:val="1"/>
      <w:numFmt w:val="decimal"/>
      <w:pStyle w:val="62"/>
      <w:lvlText w:val="%2 "/>
      <w:lvlJc w:val="left"/>
      <w:pPr>
        <w:tabs>
          <w:tab w:val="left" w:pos="540"/>
        </w:tabs>
        <w:ind w:left="540"/>
      </w:pPr>
      <w:rPr>
        <w:rFonts w:hint="eastAsia"/>
      </w:rPr>
    </w:lvl>
    <w:lvl w:ilvl="2" w:tentative="0">
      <w:start w:val="1"/>
      <w:numFmt w:val="none"/>
      <w:lvlText w:val="1.1 "/>
      <w:lvlJc w:val="left"/>
      <w:pPr>
        <w:tabs>
          <w:tab w:val="left" w:pos="0"/>
        </w:tabs>
      </w:pPr>
      <w:rPr>
        <w:rFonts w:hint="eastAsia"/>
      </w:rPr>
    </w:lvl>
    <w:lvl w:ilvl="3" w:tentative="0">
      <w:start w:val="1"/>
      <w:numFmt w:val="decimal"/>
      <w:lvlText w:val="%1.%2.%3.%4"/>
      <w:lvlJc w:val="left"/>
      <w:pPr>
        <w:tabs>
          <w:tab w:val="left" w:pos="0"/>
        </w:tabs>
      </w:pPr>
      <w:rPr>
        <w:rFonts w:hint="eastAsia"/>
      </w:rPr>
    </w:lvl>
    <w:lvl w:ilvl="4" w:tentative="0">
      <w:start w:val="1"/>
      <w:numFmt w:val="decimal"/>
      <w:lvlText w:val="%1.%2.%3.%4.%5"/>
      <w:lvlJc w:val="left"/>
      <w:pPr>
        <w:tabs>
          <w:tab w:val="left" w:pos="0"/>
        </w:tabs>
      </w:pPr>
      <w:rPr>
        <w:rFonts w:hint="eastAsia"/>
      </w:rPr>
    </w:lvl>
    <w:lvl w:ilvl="5" w:tentative="0">
      <w:start w:val="1"/>
      <w:numFmt w:val="decimal"/>
      <w:lvlText w:val="%1.%2.%3.%4.%5.%6"/>
      <w:lvlJc w:val="left"/>
      <w:pPr>
        <w:tabs>
          <w:tab w:val="left" w:pos="0"/>
        </w:tabs>
      </w:pPr>
      <w:rPr>
        <w:rFonts w:hint="eastAsia"/>
      </w:rPr>
    </w:lvl>
    <w:lvl w:ilvl="6" w:tentative="0">
      <w:start w:val="1"/>
      <w:numFmt w:val="decimal"/>
      <w:lvlText w:val="%7."/>
      <w:lvlJc w:val="left"/>
      <w:pPr>
        <w:tabs>
          <w:tab w:val="left" w:pos="420"/>
        </w:tabs>
        <w:ind w:left="420" w:hanging="420"/>
      </w:pPr>
      <w:rPr>
        <w:rFonts w:hint="eastAsia"/>
      </w:rPr>
    </w:lvl>
    <w:lvl w:ilvl="7" w:tentative="0">
      <w:start w:val="1"/>
      <w:numFmt w:val="decimal"/>
      <w:lvlText w:val="%1.%2.%3.%4.%5.%6.%7.%8"/>
      <w:lvlJc w:val="left"/>
      <w:pPr>
        <w:tabs>
          <w:tab w:val="left" w:pos="0"/>
        </w:tabs>
      </w:pPr>
      <w:rPr>
        <w:rFonts w:hint="eastAsia"/>
      </w:rPr>
    </w:lvl>
    <w:lvl w:ilvl="8" w:tentative="0">
      <w:start w:val="1"/>
      <w:numFmt w:val="decimal"/>
      <w:lvlText w:val="%1.%2.%3.%4.%5.%6.%7.%8.%9"/>
      <w:lvlJc w:val="left"/>
      <w:pPr>
        <w:tabs>
          <w:tab w:val="left" w:pos="0"/>
        </w:tabs>
      </w:pPr>
      <w:rPr>
        <w:rFonts w:hint="eastAsia"/>
      </w:rPr>
    </w:lvl>
  </w:abstractNum>
  <w:abstractNum w:abstractNumId="4">
    <w:nsid w:val="087B78BE"/>
    <w:multiLevelType w:val="multilevel"/>
    <w:tmpl w:val="087B78BE"/>
    <w:lvl w:ilvl="0" w:tentative="0">
      <w:start w:val="1"/>
      <w:numFmt w:val="decimal"/>
      <w:pStyle w:val="111"/>
      <w:lvlText w:val="第%1章 "/>
      <w:lvlJc w:val="left"/>
      <w:pPr>
        <w:ind w:left="420" w:hanging="420"/>
      </w:pPr>
      <w:rPr>
        <w:rFonts w:hint="default" w:ascii="Calibri Light" w:hAnsi="Calibri Light" w:eastAsia="华文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D8E10DC"/>
    <w:multiLevelType w:val="singleLevel"/>
    <w:tmpl w:val="0D8E10DC"/>
    <w:lvl w:ilvl="0" w:tentative="0">
      <w:start w:val="1"/>
      <w:numFmt w:val="decimal"/>
      <w:suff w:val="nothing"/>
      <w:lvlText w:val="%1、"/>
      <w:lvlJc w:val="left"/>
    </w:lvl>
  </w:abstractNum>
  <w:abstractNum w:abstractNumId="6">
    <w:nsid w:val="17A71440"/>
    <w:multiLevelType w:val="multilevel"/>
    <w:tmpl w:val="17A71440"/>
    <w:lvl w:ilvl="0" w:tentative="0">
      <w:start w:val="1"/>
      <w:numFmt w:val="bullet"/>
      <w:pStyle w:val="80"/>
      <w:lvlText w:val=""/>
      <w:lvlJc w:val="left"/>
      <w:pPr>
        <w:tabs>
          <w:tab w:val="left" w:pos="981"/>
        </w:tabs>
        <w:ind w:left="981" w:hanging="420"/>
      </w:pPr>
      <w:rPr>
        <w:rFonts w:hint="default" w:ascii="Wingdings" w:hAnsi="Wingdings" w:cs="Times New Roman"/>
      </w:rPr>
    </w:lvl>
    <w:lvl w:ilvl="1" w:tentative="0">
      <w:start w:val="1"/>
      <w:numFmt w:val="bullet"/>
      <w:lvlText w:val=""/>
      <w:lvlJc w:val="left"/>
      <w:pPr>
        <w:tabs>
          <w:tab w:val="left" w:pos="1401"/>
        </w:tabs>
        <w:ind w:left="1401" w:hanging="420"/>
      </w:pPr>
      <w:rPr>
        <w:rFonts w:hint="default" w:ascii="Wingdings" w:hAnsi="Wingdings" w:cs="Times New Roman"/>
      </w:rPr>
    </w:lvl>
    <w:lvl w:ilvl="2" w:tentative="0">
      <w:start w:val="1"/>
      <w:numFmt w:val="bullet"/>
      <w:lvlText w:val=""/>
      <w:lvlJc w:val="left"/>
      <w:pPr>
        <w:tabs>
          <w:tab w:val="left" w:pos="1821"/>
        </w:tabs>
        <w:ind w:left="1821" w:hanging="420"/>
      </w:pPr>
      <w:rPr>
        <w:rFonts w:hint="default" w:ascii="Wingdings" w:hAnsi="Wingdings" w:cs="Times New Roman"/>
      </w:rPr>
    </w:lvl>
    <w:lvl w:ilvl="3" w:tentative="0">
      <w:start w:val="1"/>
      <w:numFmt w:val="bullet"/>
      <w:lvlText w:val=""/>
      <w:lvlJc w:val="left"/>
      <w:pPr>
        <w:tabs>
          <w:tab w:val="left" w:pos="2241"/>
        </w:tabs>
        <w:ind w:left="2241" w:hanging="420"/>
      </w:pPr>
      <w:rPr>
        <w:rFonts w:hint="default" w:ascii="Wingdings" w:hAnsi="Wingdings" w:cs="Times New Roman"/>
      </w:rPr>
    </w:lvl>
    <w:lvl w:ilvl="4" w:tentative="0">
      <w:start w:val="1"/>
      <w:numFmt w:val="bullet"/>
      <w:lvlText w:val=""/>
      <w:lvlJc w:val="left"/>
      <w:pPr>
        <w:tabs>
          <w:tab w:val="left" w:pos="2661"/>
        </w:tabs>
        <w:ind w:left="2661" w:hanging="420"/>
      </w:pPr>
      <w:rPr>
        <w:rFonts w:hint="default" w:ascii="Wingdings" w:hAnsi="Wingdings" w:cs="Times New Roman"/>
      </w:rPr>
    </w:lvl>
    <w:lvl w:ilvl="5" w:tentative="0">
      <w:start w:val="1"/>
      <w:numFmt w:val="bullet"/>
      <w:lvlText w:val=""/>
      <w:lvlJc w:val="left"/>
      <w:pPr>
        <w:tabs>
          <w:tab w:val="left" w:pos="3081"/>
        </w:tabs>
        <w:ind w:left="3081" w:hanging="420"/>
      </w:pPr>
      <w:rPr>
        <w:rFonts w:hint="default" w:ascii="Wingdings" w:hAnsi="Wingdings" w:cs="Times New Roman"/>
      </w:rPr>
    </w:lvl>
    <w:lvl w:ilvl="6" w:tentative="0">
      <w:start w:val="1"/>
      <w:numFmt w:val="bullet"/>
      <w:lvlText w:val=""/>
      <w:lvlJc w:val="left"/>
      <w:pPr>
        <w:tabs>
          <w:tab w:val="left" w:pos="3501"/>
        </w:tabs>
        <w:ind w:left="3501" w:hanging="420"/>
      </w:pPr>
      <w:rPr>
        <w:rFonts w:hint="default" w:ascii="Wingdings" w:hAnsi="Wingdings" w:cs="Times New Roman"/>
      </w:rPr>
    </w:lvl>
    <w:lvl w:ilvl="7" w:tentative="0">
      <w:start w:val="1"/>
      <w:numFmt w:val="bullet"/>
      <w:lvlText w:val=""/>
      <w:lvlJc w:val="left"/>
      <w:pPr>
        <w:tabs>
          <w:tab w:val="left" w:pos="3921"/>
        </w:tabs>
        <w:ind w:left="3921" w:hanging="420"/>
      </w:pPr>
      <w:rPr>
        <w:rFonts w:hint="default" w:ascii="Wingdings" w:hAnsi="Wingdings" w:cs="Times New Roman"/>
      </w:rPr>
    </w:lvl>
    <w:lvl w:ilvl="8" w:tentative="0">
      <w:start w:val="1"/>
      <w:numFmt w:val="bullet"/>
      <w:lvlText w:val=""/>
      <w:lvlJc w:val="left"/>
      <w:pPr>
        <w:tabs>
          <w:tab w:val="left" w:pos="4341"/>
        </w:tabs>
        <w:ind w:left="4341" w:hanging="420"/>
      </w:pPr>
      <w:rPr>
        <w:rFonts w:hint="default" w:ascii="Wingdings" w:hAnsi="Wingdings" w:cs="Times New Roman"/>
      </w:rPr>
    </w:lvl>
  </w:abstractNum>
  <w:abstractNum w:abstractNumId="7">
    <w:nsid w:val="1B24F393"/>
    <w:multiLevelType w:val="multilevel"/>
    <w:tmpl w:val="1B24F39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4231937"/>
    <w:multiLevelType w:val="multilevel"/>
    <w:tmpl w:val="24231937"/>
    <w:lvl w:ilvl="0" w:tentative="0">
      <w:start w:val="1"/>
      <w:numFmt w:val="decimal"/>
      <w:lvlText w:val="%1."/>
      <w:lvlJc w:val="left"/>
      <w:pPr>
        <w:tabs>
          <w:tab w:val="left" w:pos="3261"/>
        </w:tabs>
        <w:ind w:left="0" w:firstLine="0"/>
      </w:pPr>
      <w:rPr>
        <w:rFonts w:hint="eastAsia"/>
        <w:i w:val="0"/>
        <w:iCs w:val="0"/>
        <w:caps w:val="0"/>
        <w:smallCaps w:val="0"/>
        <w:strike w:val="0"/>
        <w:dstrike w:val="0"/>
        <w:vanish w:val="0"/>
        <w:color w:val="000000"/>
        <w:spacing w:val="0"/>
        <w:position w:val="0"/>
        <w:u w:val="none"/>
        <w:vertAlign w:val="baseline"/>
      </w:rPr>
    </w:lvl>
    <w:lvl w:ilvl="1" w:tentative="0">
      <w:start w:val="1"/>
      <w:numFmt w:val="decimal"/>
      <w:pStyle w:val="4"/>
      <w:lvlText w:val="%1.%2"/>
      <w:lvlJc w:val="left"/>
      <w:pPr>
        <w:tabs>
          <w:tab w:val="left" w:pos="0"/>
        </w:tabs>
        <w:ind w:left="0" w:firstLine="0"/>
      </w:pPr>
      <w:rPr>
        <w:rFonts w:hint="eastAsia"/>
      </w:rPr>
    </w:lvl>
    <w:lvl w:ilvl="2" w:tentative="0">
      <w:start w:val="1"/>
      <w:numFmt w:val="decimal"/>
      <w:pStyle w:val="5"/>
      <w:lvlText w:val="%1.%2.%3"/>
      <w:lvlJc w:val="left"/>
      <w:pPr>
        <w:tabs>
          <w:tab w:val="left" w:pos="0"/>
        </w:tabs>
        <w:ind w:left="0" w:firstLine="0"/>
      </w:pPr>
      <w:rPr>
        <w:rFonts w:hint="default"/>
        <w:sz w:val="30"/>
        <w:szCs w:val="30"/>
      </w:rPr>
    </w:lvl>
    <w:lvl w:ilvl="3" w:tentative="0">
      <w:start w:val="1"/>
      <w:numFmt w:val="decimal"/>
      <w:pStyle w:val="7"/>
      <w:lvlText w:val="%1.%2.%3.%4"/>
      <w:lvlJc w:val="left"/>
      <w:pPr>
        <w:tabs>
          <w:tab w:val="left" w:pos="0"/>
        </w:tabs>
        <w:ind w:left="0" w:firstLine="0"/>
      </w:pPr>
      <w:rPr>
        <w:rFonts w:hint="eastAsia"/>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7."/>
      <w:lvlJc w:val="left"/>
      <w:pPr>
        <w:tabs>
          <w:tab w:val="left" w:pos="420"/>
        </w:tabs>
        <w:ind w:left="420" w:hanging="42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9">
    <w:nsid w:val="4AD348A1"/>
    <w:multiLevelType w:val="multilevel"/>
    <w:tmpl w:val="4AD348A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C394D2D"/>
    <w:multiLevelType w:val="multilevel"/>
    <w:tmpl w:val="5C394D2D"/>
    <w:lvl w:ilvl="0" w:tentative="0">
      <w:start w:val="1"/>
      <w:numFmt w:val="decimal"/>
      <w:pStyle w:val="78"/>
      <w:lvlText w:val="第%1章"/>
      <w:lvlJc w:val="center"/>
      <w:pPr>
        <w:tabs>
          <w:tab w:val="left" w:pos="0"/>
        </w:tabs>
        <w:ind w:firstLine="288"/>
      </w:pPr>
      <w:rPr>
        <w:rFonts w:hint="eastAsia"/>
      </w:rPr>
    </w:lvl>
    <w:lvl w:ilvl="1" w:tentative="0">
      <w:start w:val="1"/>
      <w:numFmt w:val="decimal"/>
      <w:lvlText w:val="%2 "/>
      <w:lvlJc w:val="left"/>
      <w:pPr>
        <w:tabs>
          <w:tab w:val="left" w:pos="540"/>
        </w:tabs>
        <w:ind w:left="540"/>
      </w:pPr>
      <w:rPr>
        <w:rFonts w:hint="eastAsia"/>
      </w:rPr>
    </w:lvl>
    <w:lvl w:ilvl="2" w:tentative="0">
      <w:start w:val="1"/>
      <w:numFmt w:val="none"/>
      <w:pStyle w:val="79"/>
      <w:lvlText w:val="1.1 "/>
      <w:lvlJc w:val="left"/>
      <w:pPr>
        <w:tabs>
          <w:tab w:val="left" w:pos="0"/>
        </w:tabs>
      </w:pPr>
      <w:rPr>
        <w:rFonts w:hint="eastAsia"/>
      </w:rPr>
    </w:lvl>
    <w:lvl w:ilvl="3" w:tentative="0">
      <w:start w:val="1"/>
      <w:numFmt w:val="decimal"/>
      <w:lvlText w:val="%1.%2.%3.%4"/>
      <w:lvlJc w:val="left"/>
      <w:pPr>
        <w:tabs>
          <w:tab w:val="left" w:pos="0"/>
        </w:tabs>
      </w:pPr>
      <w:rPr>
        <w:rFonts w:hint="eastAsia"/>
      </w:rPr>
    </w:lvl>
    <w:lvl w:ilvl="4" w:tentative="0">
      <w:start w:val="1"/>
      <w:numFmt w:val="decimal"/>
      <w:lvlText w:val="%1.%2.%3.%4.%5"/>
      <w:lvlJc w:val="left"/>
      <w:pPr>
        <w:tabs>
          <w:tab w:val="left" w:pos="0"/>
        </w:tabs>
      </w:pPr>
      <w:rPr>
        <w:rFonts w:hint="eastAsia"/>
      </w:rPr>
    </w:lvl>
    <w:lvl w:ilvl="5" w:tentative="0">
      <w:start w:val="1"/>
      <w:numFmt w:val="decimal"/>
      <w:lvlText w:val="%1.%2.%3.%4.%5.%6"/>
      <w:lvlJc w:val="left"/>
      <w:pPr>
        <w:tabs>
          <w:tab w:val="left" w:pos="0"/>
        </w:tabs>
      </w:pPr>
      <w:rPr>
        <w:rFonts w:hint="eastAsia"/>
      </w:rPr>
    </w:lvl>
    <w:lvl w:ilvl="6" w:tentative="0">
      <w:start w:val="1"/>
      <w:numFmt w:val="decimal"/>
      <w:lvlText w:val="%7."/>
      <w:lvlJc w:val="left"/>
      <w:pPr>
        <w:tabs>
          <w:tab w:val="left" w:pos="420"/>
        </w:tabs>
        <w:ind w:left="420" w:hanging="420"/>
      </w:pPr>
      <w:rPr>
        <w:rFonts w:hint="eastAsia"/>
      </w:rPr>
    </w:lvl>
    <w:lvl w:ilvl="7" w:tentative="0">
      <w:start w:val="1"/>
      <w:numFmt w:val="decimal"/>
      <w:lvlText w:val="%1.%2.%3.%4.%5.%6.%7.%8"/>
      <w:lvlJc w:val="left"/>
      <w:pPr>
        <w:tabs>
          <w:tab w:val="left" w:pos="0"/>
        </w:tabs>
      </w:pPr>
      <w:rPr>
        <w:rFonts w:hint="eastAsia"/>
      </w:rPr>
    </w:lvl>
    <w:lvl w:ilvl="8" w:tentative="0">
      <w:start w:val="1"/>
      <w:numFmt w:val="decimal"/>
      <w:lvlText w:val="%1.%2.%3.%4.%5.%6.%7.%8.%9"/>
      <w:lvlJc w:val="left"/>
      <w:pPr>
        <w:tabs>
          <w:tab w:val="left" w:pos="0"/>
        </w:tabs>
      </w:pPr>
      <w:rPr>
        <w:rFonts w:hint="eastAsia"/>
      </w:rPr>
    </w:lvl>
  </w:abstractNum>
  <w:abstractNum w:abstractNumId="11">
    <w:nsid w:val="5FC85F51"/>
    <w:multiLevelType w:val="multilevel"/>
    <w:tmpl w:val="5FC85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2330202"/>
    <w:multiLevelType w:val="multilevel"/>
    <w:tmpl w:val="623302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7F32147"/>
    <w:multiLevelType w:val="multilevel"/>
    <w:tmpl w:val="67F32147"/>
    <w:lvl w:ilvl="0" w:tentative="0">
      <w:start w:val="1"/>
      <w:numFmt w:val="bullet"/>
      <w:pStyle w:val="119"/>
      <w:lvlText w:val=""/>
      <w:lvlJc w:val="left"/>
      <w:pPr>
        <w:tabs>
          <w:tab w:val="left" w:pos="360"/>
        </w:tabs>
        <w:ind w:left="252" w:hanging="252"/>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68666B85"/>
    <w:multiLevelType w:val="multilevel"/>
    <w:tmpl w:val="68666B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E2B2D12"/>
    <w:multiLevelType w:val="multilevel"/>
    <w:tmpl w:val="6E2B2D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1616C9F"/>
    <w:multiLevelType w:val="multilevel"/>
    <w:tmpl w:val="71616C9F"/>
    <w:lvl w:ilvl="0" w:tentative="0">
      <w:start w:val="1"/>
      <w:numFmt w:val="decimal"/>
      <w:lvlText w:val="%1."/>
      <w:lvlJc w:val="left"/>
      <w:pPr>
        <w:tabs>
          <w:tab w:val="left" w:pos="425"/>
        </w:tabs>
        <w:ind w:left="425" w:hanging="425"/>
      </w:pPr>
      <w:rPr>
        <w:rFonts w:hint="eastAsia"/>
      </w:rPr>
    </w:lvl>
    <w:lvl w:ilvl="1" w:tentative="0">
      <w:start w:val="1"/>
      <w:numFmt w:val="decimal"/>
      <w:pStyle w:val="81"/>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7ED83323"/>
    <w:multiLevelType w:val="singleLevel"/>
    <w:tmpl w:val="7ED83323"/>
    <w:lvl w:ilvl="0" w:tentative="0">
      <w:start w:val="1"/>
      <w:numFmt w:val="bullet"/>
      <w:lvlText w:val=""/>
      <w:lvlJc w:val="left"/>
      <w:pPr>
        <w:ind w:left="420" w:hanging="420"/>
      </w:pPr>
      <w:rPr>
        <w:rFonts w:hint="default" w:ascii="Wingdings" w:hAnsi="Wingdings"/>
      </w:rPr>
    </w:lvl>
  </w:abstractNum>
  <w:num w:numId="1">
    <w:abstractNumId w:val="8"/>
  </w:num>
  <w:num w:numId="2">
    <w:abstractNumId w:val="3"/>
  </w:num>
  <w:num w:numId="3">
    <w:abstractNumId w:val="10"/>
  </w:num>
  <w:num w:numId="4">
    <w:abstractNumId w:val="6"/>
  </w:num>
  <w:num w:numId="5">
    <w:abstractNumId w:val="16"/>
  </w:num>
  <w:num w:numId="6">
    <w:abstractNumId w:val="4"/>
  </w:num>
  <w:num w:numId="7">
    <w:abstractNumId w:val="13"/>
  </w:num>
  <w:num w:numId="8">
    <w:abstractNumId w:val="9"/>
  </w:num>
  <w:num w:numId="9">
    <w:abstractNumId w:val="12"/>
  </w:num>
  <w:num w:numId="10">
    <w:abstractNumId w:val="14"/>
  </w:num>
  <w:num w:numId="11">
    <w:abstractNumId w:val="17"/>
  </w:num>
  <w:num w:numId="12">
    <w:abstractNumId w:val="15"/>
  </w:num>
  <w:num w:numId="13">
    <w:abstractNumId w:val="7"/>
  </w:num>
  <w:num w:numId="14">
    <w:abstractNumId w:val="1"/>
  </w:num>
  <w:num w:numId="15">
    <w:abstractNumId w:val="11"/>
  </w:num>
  <w:num w:numId="16">
    <w:abstractNumId w:val="0"/>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YTczN2JjODg0MjZjZTBlZTdiZTU5NjUyMjBkYTIifQ=="/>
  </w:docVars>
  <w:rsids>
    <w:rsidRoot w:val="00EA0B78"/>
    <w:rsid w:val="000029EF"/>
    <w:rsid w:val="0000650B"/>
    <w:rsid w:val="000110C6"/>
    <w:rsid w:val="000178B4"/>
    <w:rsid w:val="000354F0"/>
    <w:rsid w:val="0004271E"/>
    <w:rsid w:val="00046B4C"/>
    <w:rsid w:val="000552A5"/>
    <w:rsid w:val="00062917"/>
    <w:rsid w:val="000808EF"/>
    <w:rsid w:val="00084CAB"/>
    <w:rsid w:val="000942B7"/>
    <w:rsid w:val="000C49C9"/>
    <w:rsid w:val="000D5233"/>
    <w:rsid w:val="000D7005"/>
    <w:rsid w:val="00107D41"/>
    <w:rsid w:val="00124368"/>
    <w:rsid w:val="00130846"/>
    <w:rsid w:val="0016304E"/>
    <w:rsid w:val="00175046"/>
    <w:rsid w:val="00187DCF"/>
    <w:rsid w:val="00191614"/>
    <w:rsid w:val="001B6A52"/>
    <w:rsid w:val="001C2B35"/>
    <w:rsid w:val="001D2A80"/>
    <w:rsid w:val="001E56D0"/>
    <w:rsid w:val="002133CC"/>
    <w:rsid w:val="002258E7"/>
    <w:rsid w:val="002302DA"/>
    <w:rsid w:val="002447CD"/>
    <w:rsid w:val="002744E3"/>
    <w:rsid w:val="0027572D"/>
    <w:rsid w:val="00287EE0"/>
    <w:rsid w:val="002B7CF6"/>
    <w:rsid w:val="002C29A2"/>
    <w:rsid w:val="002C36BA"/>
    <w:rsid w:val="002C5DCB"/>
    <w:rsid w:val="002D5E62"/>
    <w:rsid w:val="002D6945"/>
    <w:rsid w:val="002D77E0"/>
    <w:rsid w:val="002E6B58"/>
    <w:rsid w:val="002E72E9"/>
    <w:rsid w:val="002F3333"/>
    <w:rsid w:val="002F5DC9"/>
    <w:rsid w:val="00300D5D"/>
    <w:rsid w:val="00302BC6"/>
    <w:rsid w:val="00315E52"/>
    <w:rsid w:val="00317779"/>
    <w:rsid w:val="00321C6F"/>
    <w:rsid w:val="00326B15"/>
    <w:rsid w:val="00347E27"/>
    <w:rsid w:val="0035038C"/>
    <w:rsid w:val="00352BE9"/>
    <w:rsid w:val="00354B99"/>
    <w:rsid w:val="003851FC"/>
    <w:rsid w:val="00392A33"/>
    <w:rsid w:val="00395D4A"/>
    <w:rsid w:val="003A05FB"/>
    <w:rsid w:val="003A1329"/>
    <w:rsid w:val="003B1D25"/>
    <w:rsid w:val="003B53EF"/>
    <w:rsid w:val="003B5726"/>
    <w:rsid w:val="003D1268"/>
    <w:rsid w:val="003E60A2"/>
    <w:rsid w:val="003F71A8"/>
    <w:rsid w:val="00473C7B"/>
    <w:rsid w:val="00473DC0"/>
    <w:rsid w:val="00493C1B"/>
    <w:rsid w:val="0049504F"/>
    <w:rsid w:val="004A1489"/>
    <w:rsid w:val="004A1585"/>
    <w:rsid w:val="004E0603"/>
    <w:rsid w:val="004F7F2E"/>
    <w:rsid w:val="00511E02"/>
    <w:rsid w:val="005127D7"/>
    <w:rsid w:val="005249B0"/>
    <w:rsid w:val="005322DC"/>
    <w:rsid w:val="00543AF0"/>
    <w:rsid w:val="00552274"/>
    <w:rsid w:val="005569F7"/>
    <w:rsid w:val="00556C92"/>
    <w:rsid w:val="005652F9"/>
    <w:rsid w:val="005678E6"/>
    <w:rsid w:val="00581190"/>
    <w:rsid w:val="00582D08"/>
    <w:rsid w:val="005845F6"/>
    <w:rsid w:val="00584F95"/>
    <w:rsid w:val="005935D2"/>
    <w:rsid w:val="005A24E2"/>
    <w:rsid w:val="005C1E43"/>
    <w:rsid w:val="005C298A"/>
    <w:rsid w:val="005E01A3"/>
    <w:rsid w:val="005E119A"/>
    <w:rsid w:val="005F282F"/>
    <w:rsid w:val="005F741C"/>
    <w:rsid w:val="00612932"/>
    <w:rsid w:val="006143A8"/>
    <w:rsid w:val="006310A8"/>
    <w:rsid w:val="00634FA4"/>
    <w:rsid w:val="006352BE"/>
    <w:rsid w:val="00636288"/>
    <w:rsid w:val="006438A1"/>
    <w:rsid w:val="0066060B"/>
    <w:rsid w:val="006629AB"/>
    <w:rsid w:val="00665643"/>
    <w:rsid w:val="00687BE2"/>
    <w:rsid w:val="006B3A73"/>
    <w:rsid w:val="006D096E"/>
    <w:rsid w:val="006D5003"/>
    <w:rsid w:val="006D5E3A"/>
    <w:rsid w:val="006E0667"/>
    <w:rsid w:val="006E161E"/>
    <w:rsid w:val="006E45CD"/>
    <w:rsid w:val="006F130C"/>
    <w:rsid w:val="006F1D27"/>
    <w:rsid w:val="007047A1"/>
    <w:rsid w:val="00706983"/>
    <w:rsid w:val="007236E5"/>
    <w:rsid w:val="00724936"/>
    <w:rsid w:val="00731644"/>
    <w:rsid w:val="00734620"/>
    <w:rsid w:val="00743563"/>
    <w:rsid w:val="00744183"/>
    <w:rsid w:val="00747D0D"/>
    <w:rsid w:val="007549C4"/>
    <w:rsid w:val="007563A4"/>
    <w:rsid w:val="00777D39"/>
    <w:rsid w:val="00792F02"/>
    <w:rsid w:val="007958E0"/>
    <w:rsid w:val="007975D4"/>
    <w:rsid w:val="007B2C03"/>
    <w:rsid w:val="007B5BEF"/>
    <w:rsid w:val="007E0648"/>
    <w:rsid w:val="007E2499"/>
    <w:rsid w:val="007E4B0F"/>
    <w:rsid w:val="007E57BD"/>
    <w:rsid w:val="007E6DCC"/>
    <w:rsid w:val="007E76EC"/>
    <w:rsid w:val="008013E3"/>
    <w:rsid w:val="00805EF1"/>
    <w:rsid w:val="00822C63"/>
    <w:rsid w:val="0082449D"/>
    <w:rsid w:val="00830645"/>
    <w:rsid w:val="0083720E"/>
    <w:rsid w:val="00841315"/>
    <w:rsid w:val="00846C05"/>
    <w:rsid w:val="0085094E"/>
    <w:rsid w:val="00852BF9"/>
    <w:rsid w:val="00894F2E"/>
    <w:rsid w:val="008A70D1"/>
    <w:rsid w:val="008B03D8"/>
    <w:rsid w:val="008C1366"/>
    <w:rsid w:val="008C2626"/>
    <w:rsid w:val="008D138C"/>
    <w:rsid w:val="008E675F"/>
    <w:rsid w:val="00900592"/>
    <w:rsid w:val="009030B0"/>
    <w:rsid w:val="00905983"/>
    <w:rsid w:val="00930C1E"/>
    <w:rsid w:val="009313EE"/>
    <w:rsid w:val="00945D6E"/>
    <w:rsid w:val="00947C6A"/>
    <w:rsid w:val="009634CE"/>
    <w:rsid w:val="009700D9"/>
    <w:rsid w:val="00983FA1"/>
    <w:rsid w:val="00990BCB"/>
    <w:rsid w:val="00994B2C"/>
    <w:rsid w:val="009A23FB"/>
    <w:rsid w:val="009A26F4"/>
    <w:rsid w:val="009A55B8"/>
    <w:rsid w:val="009A63ED"/>
    <w:rsid w:val="009B1427"/>
    <w:rsid w:val="009B7F17"/>
    <w:rsid w:val="009C75A3"/>
    <w:rsid w:val="009D6277"/>
    <w:rsid w:val="00A2440D"/>
    <w:rsid w:val="00A247E0"/>
    <w:rsid w:val="00A26872"/>
    <w:rsid w:val="00A54B7F"/>
    <w:rsid w:val="00A647B7"/>
    <w:rsid w:val="00A664F5"/>
    <w:rsid w:val="00A958E4"/>
    <w:rsid w:val="00AA6EF4"/>
    <w:rsid w:val="00AB2FE5"/>
    <w:rsid w:val="00AD1783"/>
    <w:rsid w:val="00AE1149"/>
    <w:rsid w:val="00AE25A1"/>
    <w:rsid w:val="00AE3BC1"/>
    <w:rsid w:val="00AF0FE0"/>
    <w:rsid w:val="00AF2C36"/>
    <w:rsid w:val="00AF6286"/>
    <w:rsid w:val="00B076D1"/>
    <w:rsid w:val="00B17257"/>
    <w:rsid w:val="00B30984"/>
    <w:rsid w:val="00B323FC"/>
    <w:rsid w:val="00B50B47"/>
    <w:rsid w:val="00B7139A"/>
    <w:rsid w:val="00B803B9"/>
    <w:rsid w:val="00B90CA7"/>
    <w:rsid w:val="00B97ED1"/>
    <w:rsid w:val="00BA1450"/>
    <w:rsid w:val="00BC7F32"/>
    <w:rsid w:val="00BD1D64"/>
    <w:rsid w:val="00BE7F48"/>
    <w:rsid w:val="00C03ACF"/>
    <w:rsid w:val="00C1665B"/>
    <w:rsid w:val="00C4514B"/>
    <w:rsid w:val="00C45940"/>
    <w:rsid w:val="00C57E7A"/>
    <w:rsid w:val="00C63B58"/>
    <w:rsid w:val="00C829F1"/>
    <w:rsid w:val="00C90728"/>
    <w:rsid w:val="00CC0326"/>
    <w:rsid w:val="00CC39A9"/>
    <w:rsid w:val="00CD0907"/>
    <w:rsid w:val="00CD4B89"/>
    <w:rsid w:val="00CE6B95"/>
    <w:rsid w:val="00D151B3"/>
    <w:rsid w:val="00D27225"/>
    <w:rsid w:val="00D277BD"/>
    <w:rsid w:val="00D45CE4"/>
    <w:rsid w:val="00D52689"/>
    <w:rsid w:val="00D61F3F"/>
    <w:rsid w:val="00D66354"/>
    <w:rsid w:val="00D70A0B"/>
    <w:rsid w:val="00DA2517"/>
    <w:rsid w:val="00DB76CE"/>
    <w:rsid w:val="00DD0EF3"/>
    <w:rsid w:val="00DD7C79"/>
    <w:rsid w:val="00DF3878"/>
    <w:rsid w:val="00E00762"/>
    <w:rsid w:val="00E022FD"/>
    <w:rsid w:val="00E276E7"/>
    <w:rsid w:val="00E36899"/>
    <w:rsid w:val="00E456F0"/>
    <w:rsid w:val="00E52BC8"/>
    <w:rsid w:val="00E7218A"/>
    <w:rsid w:val="00E90756"/>
    <w:rsid w:val="00EA0B78"/>
    <w:rsid w:val="00EA60F2"/>
    <w:rsid w:val="00EA6186"/>
    <w:rsid w:val="00EB3731"/>
    <w:rsid w:val="00EB6C5D"/>
    <w:rsid w:val="00EC2DC1"/>
    <w:rsid w:val="00EC7303"/>
    <w:rsid w:val="00ED506D"/>
    <w:rsid w:val="00ED66E2"/>
    <w:rsid w:val="00ED7548"/>
    <w:rsid w:val="00EF4AF0"/>
    <w:rsid w:val="00F044EC"/>
    <w:rsid w:val="00F33C0B"/>
    <w:rsid w:val="00F421BB"/>
    <w:rsid w:val="00F45FFB"/>
    <w:rsid w:val="00F516F4"/>
    <w:rsid w:val="00F629E8"/>
    <w:rsid w:val="00F65659"/>
    <w:rsid w:val="00FA3CA1"/>
    <w:rsid w:val="00FA6823"/>
    <w:rsid w:val="00FD4D87"/>
    <w:rsid w:val="00FD5FD9"/>
    <w:rsid w:val="00FE4A6F"/>
    <w:rsid w:val="01246282"/>
    <w:rsid w:val="012D66CB"/>
    <w:rsid w:val="014852B3"/>
    <w:rsid w:val="01993D60"/>
    <w:rsid w:val="02CB619B"/>
    <w:rsid w:val="04025BED"/>
    <w:rsid w:val="046643CE"/>
    <w:rsid w:val="04DA0918"/>
    <w:rsid w:val="05157BA2"/>
    <w:rsid w:val="05760640"/>
    <w:rsid w:val="05A21F84"/>
    <w:rsid w:val="06DD649D"/>
    <w:rsid w:val="070D6D82"/>
    <w:rsid w:val="07506C6F"/>
    <w:rsid w:val="07B74F40"/>
    <w:rsid w:val="07E5385B"/>
    <w:rsid w:val="07FE66CB"/>
    <w:rsid w:val="08B84B75"/>
    <w:rsid w:val="0A4F76B2"/>
    <w:rsid w:val="0AC872F7"/>
    <w:rsid w:val="0B462863"/>
    <w:rsid w:val="0BF91683"/>
    <w:rsid w:val="0D2A1D10"/>
    <w:rsid w:val="0DF447F8"/>
    <w:rsid w:val="0E1B7FD7"/>
    <w:rsid w:val="0E7771D7"/>
    <w:rsid w:val="0F1D0278"/>
    <w:rsid w:val="0F692FC4"/>
    <w:rsid w:val="0F6A2898"/>
    <w:rsid w:val="0FBE21DA"/>
    <w:rsid w:val="11360C84"/>
    <w:rsid w:val="11AE2F10"/>
    <w:rsid w:val="11C646FD"/>
    <w:rsid w:val="11DF238B"/>
    <w:rsid w:val="12062D4C"/>
    <w:rsid w:val="123E24E6"/>
    <w:rsid w:val="12C50511"/>
    <w:rsid w:val="14755F67"/>
    <w:rsid w:val="15485429"/>
    <w:rsid w:val="15567B46"/>
    <w:rsid w:val="15E72E94"/>
    <w:rsid w:val="185C1918"/>
    <w:rsid w:val="19BE10DB"/>
    <w:rsid w:val="19CF7299"/>
    <w:rsid w:val="1A0D4787"/>
    <w:rsid w:val="1A74580B"/>
    <w:rsid w:val="1BE1134E"/>
    <w:rsid w:val="1C705992"/>
    <w:rsid w:val="1D0E0D07"/>
    <w:rsid w:val="1DCF2114"/>
    <w:rsid w:val="1E0312DC"/>
    <w:rsid w:val="1E4E1D03"/>
    <w:rsid w:val="1F0F4A41"/>
    <w:rsid w:val="1FA2438D"/>
    <w:rsid w:val="20A21E92"/>
    <w:rsid w:val="20BB73F7"/>
    <w:rsid w:val="20C37DE1"/>
    <w:rsid w:val="217A4BBD"/>
    <w:rsid w:val="218B6DCA"/>
    <w:rsid w:val="22060782"/>
    <w:rsid w:val="22CC58EC"/>
    <w:rsid w:val="22F15352"/>
    <w:rsid w:val="22F530CA"/>
    <w:rsid w:val="238166D6"/>
    <w:rsid w:val="23D20CE0"/>
    <w:rsid w:val="23E629DD"/>
    <w:rsid w:val="24003A9F"/>
    <w:rsid w:val="26263565"/>
    <w:rsid w:val="289C366A"/>
    <w:rsid w:val="28AF339E"/>
    <w:rsid w:val="28DF17A9"/>
    <w:rsid w:val="292518B2"/>
    <w:rsid w:val="2964687E"/>
    <w:rsid w:val="2B2E463A"/>
    <w:rsid w:val="2C8903AA"/>
    <w:rsid w:val="2C970D19"/>
    <w:rsid w:val="2CA156F3"/>
    <w:rsid w:val="2CFC0B7C"/>
    <w:rsid w:val="2E3305CD"/>
    <w:rsid w:val="2E894691"/>
    <w:rsid w:val="2F4131BE"/>
    <w:rsid w:val="2F511653"/>
    <w:rsid w:val="2F9B0B20"/>
    <w:rsid w:val="2FA8323D"/>
    <w:rsid w:val="2FB27C17"/>
    <w:rsid w:val="2FBD5D14"/>
    <w:rsid w:val="2FC62AD4"/>
    <w:rsid w:val="30A50398"/>
    <w:rsid w:val="316D2048"/>
    <w:rsid w:val="34D643A8"/>
    <w:rsid w:val="35101668"/>
    <w:rsid w:val="3538471B"/>
    <w:rsid w:val="360016DD"/>
    <w:rsid w:val="360C62D3"/>
    <w:rsid w:val="364A2958"/>
    <w:rsid w:val="36A50A4E"/>
    <w:rsid w:val="371A4A20"/>
    <w:rsid w:val="396401D4"/>
    <w:rsid w:val="39FF5A82"/>
    <w:rsid w:val="3A1B50AA"/>
    <w:rsid w:val="3A6F0BDF"/>
    <w:rsid w:val="3A9279DB"/>
    <w:rsid w:val="3AE315CD"/>
    <w:rsid w:val="3AE9793F"/>
    <w:rsid w:val="3B345984"/>
    <w:rsid w:val="3B842468"/>
    <w:rsid w:val="3CB72D11"/>
    <w:rsid w:val="3CF03077"/>
    <w:rsid w:val="3D121CF5"/>
    <w:rsid w:val="3DC76F84"/>
    <w:rsid w:val="3E1359AE"/>
    <w:rsid w:val="3E1C72D0"/>
    <w:rsid w:val="3EF73899"/>
    <w:rsid w:val="3FC92B3F"/>
    <w:rsid w:val="41650F8E"/>
    <w:rsid w:val="42896CE0"/>
    <w:rsid w:val="42D068DB"/>
    <w:rsid w:val="42F779C3"/>
    <w:rsid w:val="43362BE2"/>
    <w:rsid w:val="44F87A23"/>
    <w:rsid w:val="458D0AB3"/>
    <w:rsid w:val="462F1B6A"/>
    <w:rsid w:val="469519CD"/>
    <w:rsid w:val="46B06807"/>
    <w:rsid w:val="46FF153C"/>
    <w:rsid w:val="47A10846"/>
    <w:rsid w:val="47B73BC5"/>
    <w:rsid w:val="48027536"/>
    <w:rsid w:val="496164DE"/>
    <w:rsid w:val="4A0A1848"/>
    <w:rsid w:val="4B906C07"/>
    <w:rsid w:val="4BC32B39"/>
    <w:rsid w:val="4BCE14DD"/>
    <w:rsid w:val="4D292E6F"/>
    <w:rsid w:val="4F5F526E"/>
    <w:rsid w:val="4FDB4B06"/>
    <w:rsid w:val="4FF97471"/>
    <w:rsid w:val="504A7CCC"/>
    <w:rsid w:val="50AF7B2F"/>
    <w:rsid w:val="51254295"/>
    <w:rsid w:val="51DA3BEC"/>
    <w:rsid w:val="52972F71"/>
    <w:rsid w:val="529C0587"/>
    <w:rsid w:val="52E13D69"/>
    <w:rsid w:val="532F4F57"/>
    <w:rsid w:val="53656BCB"/>
    <w:rsid w:val="53EC59B5"/>
    <w:rsid w:val="541008E5"/>
    <w:rsid w:val="54200A7C"/>
    <w:rsid w:val="56503B63"/>
    <w:rsid w:val="56790E26"/>
    <w:rsid w:val="569B20BE"/>
    <w:rsid w:val="57C2283E"/>
    <w:rsid w:val="58240E03"/>
    <w:rsid w:val="586C6306"/>
    <w:rsid w:val="5AFF3461"/>
    <w:rsid w:val="5B445318"/>
    <w:rsid w:val="5B7B3430"/>
    <w:rsid w:val="5CE84AF5"/>
    <w:rsid w:val="5CED210B"/>
    <w:rsid w:val="5D7E7207"/>
    <w:rsid w:val="5D944335"/>
    <w:rsid w:val="5D997970"/>
    <w:rsid w:val="5DA95419"/>
    <w:rsid w:val="5DBE5856"/>
    <w:rsid w:val="5E30407D"/>
    <w:rsid w:val="5E5B4E53"/>
    <w:rsid w:val="5E717F88"/>
    <w:rsid w:val="5E9842F9"/>
    <w:rsid w:val="5EB153BA"/>
    <w:rsid w:val="5F17346F"/>
    <w:rsid w:val="5F6661A5"/>
    <w:rsid w:val="61C827FF"/>
    <w:rsid w:val="62E36D72"/>
    <w:rsid w:val="64915A72"/>
    <w:rsid w:val="64B654D9"/>
    <w:rsid w:val="64B81251"/>
    <w:rsid w:val="651F3E7E"/>
    <w:rsid w:val="662841B4"/>
    <w:rsid w:val="668138C4"/>
    <w:rsid w:val="67177D85"/>
    <w:rsid w:val="673F7A07"/>
    <w:rsid w:val="68B022B3"/>
    <w:rsid w:val="69584DB0"/>
    <w:rsid w:val="699E02E9"/>
    <w:rsid w:val="69F10D61"/>
    <w:rsid w:val="6A2829D5"/>
    <w:rsid w:val="6A793230"/>
    <w:rsid w:val="6B961BC0"/>
    <w:rsid w:val="6C700663"/>
    <w:rsid w:val="6C735A5D"/>
    <w:rsid w:val="6CD56718"/>
    <w:rsid w:val="6E427733"/>
    <w:rsid w:val="6EDF73DA"/>
    <w:rsid w:val="6F7B35A7"/>
    <w:rsid w:val="6F914B78"/>
    <w:rsid w:val="71F26DBF"/>
    <w:rsid w:val="727662A7"/>
    <w:rsid w:val="734C5BFD"/>
    <w:rsid w:val="738642C8"/>
    <w:rsid w:val="73C3129A"/>
    <w:rsid w:val="73D56FFD"/>
    <w:rsid w:val="73DD4830"/>
    <w:rsid w:val="741915E0"/>
    <w:rsid w:val="74714F78"/>
    <w:rsid w:val="74AE2A31"/>
    <w:rsid w:val="75096F5F"/>
    <w:rsid w:val="750B0F29"/>
    <w:rsid w:val="75596138"/>
    <w:rsid w:val="774A385E"/>
    <w:rsid w:val="77D47CF8"/>
    <w:rsid w:val="77F9775E"/>
    <w:rsid w:val="7AEF309B"/>
    <w:rsid w:val="7BCE4A5E"/>
    <w:rsid w:val="7C84778E"/>
    <w:rsid w:val="7D180687"/>
    <w:rsid w:val="7D3C379C"/>
    <w:rsid w:val="7DF52776"/>
    <w:rsid w:val="7E1A21DD"/>
    <w:rsid w:val="7EC00FD6"/>
    <w:rsid w:val="7EC02D84"/>
    <w:rsid w:val="7EC12519"/>
    <w:rsid w:val="7F0215EE"/>
    <w:rsid w:val="7F141322"/>
    <w:rsid w:val="7F59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8"/>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57"/>
    <w:unhideWhenUsed/>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69"/>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8">
    <w:name w:val="heading 5"/>
    <w:basedOn w:val="1"/>
    <w:next w:val="1"/>
    <w:link w:val="71"/>
    <w:unhideWhenUsed/>
    <w:qFormat/>
    <w:uiPriority w:val="0"/>
    <w:pPr>
      <w:keepNext/>
      <w:keepLines/>
      <w:spacing w:before="280" w:after="290" w:line="376" w:lineRule="auto"/>
      <w:outlineLvl w:val="4"/>
    </w:pPr>
    <w:rPr>
      <w:b/>
      <w:bCs/>
      <w:sz w:val="28"/>
      <w:szCs w:val="28"/>
    </w:rPr>
  </w:style>
  <w:style w:type="paragraph" w:styleId="9">
    <w:name w:val="heading 6"/>
    <w:basedOn w:val="1"/>
    <w:next w:val="1"/>
    <w:link w:val="72"/>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10">
    <w:name w:val="heading 7"/>
    <w:basedOn w:val="1"/>
    <w:next w:val="1"/>
    <w:link w:val="73"/>
    <w:unhideWhenUsed/>
    <w:qFormat/>
    <w:uiPriority w:val="0"/>
    <w:pPr>
      <w:keepNext/>
      <w:keepLines/>
      <w:spacing w:before="240" w:after="64" w:line="320" w:lineRule="auto"/>
      <w:outlineLvl w:val="6"/>
    </w:pPr>
    <w:rPr>
      <w:rFonts w:ascii="Arial" w:hAnsi="Arial" w:eastAsia="华文仿宋" w:cs="Times New Roman"/>
      <w:b/>
      <w:bCs/>
      <w:kern w:val="0"/>
      <w:sz w:val="24"/>
      <w:szCs w:val="24"/>
    </w:rPr>
  </w:style>
  <w:style w:type="paragraph" w:styleId="11">
    <w:name w:val="heading 8"/>
    <w:basedOn w:val="1"/>
    <w:next w:val="12"/>
    <w:link w:val="120"/>
    <w:qFormat/>
    <w:uiPriority w:val="0"/>
    <w:pPr>
      <w:suppressAutoHyphens/>
      <w:ind w:left="720"/>
      <w:outlineLvl w:val="7"/>
    </w:pPr>
    <w:rPr>
      <w:rFonts w:ascii="Times" w:hAnsi="Times" w:eastAsia="宋体" w:cs="Times New Roman"/>
      <w:i/>
      <w:kern w:val="1"/>
      <w:szCs w:val="24"/>
      <w:lang w:eastAsia="ar-SA"/>
    </w:rPr>
  </w:style>
  <w:style w:type="paragraph" w:styleId="14">
    <w:name w:val="heading 9"/>
    <w:basedOn w:val="1"/>
    <w:next w:val="12"/>
    <w:link w:val="121"/>
    <w:qFormat/>
    <w:uiPriority w:val="0"/>
    <w:pPr>
      <w:suppressAutoHyphens/>
      <w:ind w:left="720"/>
      <w:outlineLvl w:val="8"/>
    </w:pPr>
    <w:rPr>
      <w:rFonts w:ascii="Times" w:hAnsi="Times" w:eastAsia="宋体" w:cs="Times New Roman"/>
      <w:i/>
      <w:kern w:val="1"/>
      <w:szCs w:val="24"/>
      <w:lang w:eastAsia="ar-SA"/>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90"/>
    <w:qFormat/>
    <w:uiPriority w:val="0"/>
    <w:rPr>
      <w:rFonts w:ascii="仿宋_GB2312" w:hAnsi="宋体" w:eastAsia="仿宋_GB2312" w:cs="Times New Roman"/>
      <w:b/>
      <w:bCs/>
      <w:kern w:val="0"/>
      <w:sz w:val="32"/>
      <w:szCs w:val="20"/>
    </w:rPr>
  </w:style>
  <w:style w:type="paragraph" w:styleId="6">
    <w:name w:val="toc 4"/>
    <w:basedOn w:val="1"/>
    <w:next w:val="1"/>
    <w:unhideWhenUsed/>
    <w:qFormat/>
    <w:uiPriority w:val="39"/>
    <w:pPr>
      <w:ind w:left="630"/>
      <w:jc w:val="left"/>
    </w:pPr>
    <w:rPr>
      <w:sz w:val="18"/>
      <w:szCs w:val="18"/>
    </w:rPr>
  </w:style>
  <w:style w:type="paragraph" w:styleId="12">
    <w:name w:val="Body Text First Indent"/>
    <w:basedOn w:val="13"/>
    <w:link w:val="74"/>
    <w:qFormat/>
    <w:uiPriority w:val="0"/>
    <w:pPr>
      <w:ind w:firstLine="200" w:firstLineChars="200"/>
    </w:pPr>
    <w:rPr>
      <w:rFonts w:ascii="Arial" w:hAnsi="Arial" w:eastAsia="华文仿宋"/>
    </w:rPr>
  </w:style>
  <w:style w:type="paragraph" w:styleId="13">
    <w:name w:val="Body Text"/>
    <w:basedOn w:val="1"/>
    <w:link w:val="64"/>
    <w:qFormat/>
    <w:uiPriority w:val="0"/>
    <w:pPr>
      <w:adjustRightInd w:val="0"/>
      <w:spacing w:after="120" w:line="360" w:lineRule="auto"/>
      <w:textAlignment w:val="baseline"/>
    </w:pPr>
    <w:rPr>
      <w:rFonts w:ascii="Times New Roman" w:hAnsi="Times New Roman" w:eastAsia="宋体" w:cs="Times New Roman"/>
      <w:kern w:val="0"/>
      <w:sz w:val="28"/>
      <w:szCs w:val="28"/>
    </w:rPr>
  </w:style>
  <w:style w:type="paragraph" w:styleId="15">
    <w:name w:val="toc 7"/>
    <w:basedOn w:val="1"/>
    <w:next w:val="1"/>
    <w:unhideWhenUsed/>
    <w:qFormat/>
    <w:uiPriority w:val="39"/>
    <w:pPr>
      <w:ind w:left="1260"/>
      <w:jc w:val="left"/>
    </w:pPr>
    <w:rPr>
      <w:sz w:val="18"/>
      <w:szCs w:val="18"/>
    </w:rPr>
  </w:style>
  <w:style w:type="paragraph" w:styleId="16">
    <w:name w:val="Normal Indent"/>
    <w:basedOn w:val="1"/>
    <w:qFormat/>
    <w:uiPriority w:val="0"/>
    <w:pPr>
      <w:adjustRightInd w:val="0"/>
      <w:spacing w:line="360" w:lineRule="auto"/>
      <w:ind w:firstLine="420" w:firstLineChars="200"/>
      <w:textAlignment w:val="baseline"/>
    </w:pPr>
    <w:rPr>
      <w:rFonts w:ascii="Arial" w:hAnsi="Arial" w:eastAsia="华文仿宋" w:cs="Times New Roman"/>
      <w:kern w:val="0"/>
      <w:sz w:val="28"/>
      <w:szCs w:val="28"/>
    </w:rPr>
  </w:style>
  <w:style w:type="paragraph" w:styleId="17">
    <w:name w:val="Document Map"/>
    <w:basedOn w:val="1"/>
    <w:link w:val="117"/>
    <w:qFormat/>
    <w:uiPriority w:val="0"/>
    <w:rPr>
      <w:rFonts w:ascii="宋体" w:hAnsi="Arial" w:eastAsia="宋体" w:cs="Times New Roman"/>
      <w:kern w:val="0"/>
      <w:sz w:val="18"/>
      <w:szCs w:val="18"/>
    </w:rPr>
  </w:style>
  <w:style w:type="paragraph" w:styleId="18">
    <w:name w:val="Salutation"/>
    <w:basedOn w:val="1"/>
    <w:next w:val="1"/>
    <w:link w:val="94"/>
    <w:qFormat/>
    <w:uiPriority w:val="0"/>
    <w:rPr>
      <w:rFonts w:ascii="仿宋_GB2312" w:hAnsi="Arial" w:eastAsia="仿宋_GB2312" w:cs="Times New Roman"/>
      <w:sz w:val="32"/>
      <w:szCs w:val="32"/>
      <w:lang w:val="zh-CN" w:eastAsia="zh-CN"/>
    </w:rPr>
  </w:style>
  <w:style w:type="paragraph" w:styleId="19">
    <w:name w:val="Closing"/>
    <w:basedOn w:val="1"/>
    <w:link w:val="95"/>
    <w:qFormat/>
    <w:uiPriority w:val="0"/>
    <w:pPr>
      <w:ind w:left="100" w:leftChars="2100"/>
    </w:pPr>
    <w:rPr>
      <w:rFonts w:ascii="仿宋_GB2312" w:hAnsi="Arial" w:eastAsia="仿宋_GB2312" w:cs="Times New Roman"/>
      <w:sz w:val="32"/>
      <w:szCs w:val="32"/>
      <w:lang w:val="zh-CN" w:eastAsia="zh-CN"/>
    </w:rPr>
  </w:style>
  <w:style w:type="paragraph" w:styleId="20">
    <w:name w:val="Body Text Indent"/>
    <w:basedOn w:val="1"/>
    <w:link w:val="75"/>
    <w:qFormat/>
    <w:uiPriority w:val="0"/>
    <w:pPr>
      <w:ind w:left="1239" w:leftChars="590"/>
    </w:pPr>
    <w:rPr>
      <w:rFonts w:ascii="仿宋_GB2312" w:hAnsi="宋体" w:eastAsia="仿宋_GB2312" w:cs="Times New Roman"/>
      <w:kern w:val="0"/>
      <w:sz w:val="32"/>
      <w:szCs w:val="32"/>
    </w:rPr>
  </w:style>
  <w:style w:type="paragraph" w:styleId="21">
    <w:name w:val="toc 5"/>
    <w:basedOn w:val="1"/>
    <w:next w:val="1"/>
    <w:unhideWhenUsed/>
    <w:qFormat/>
    <w:uiPriority w:val="39"/>
    <w:pPr>
      <w:ind w:left="840"/>
      <w:jc w:val="left"/>
    </w:pPr>
    <w:rPr>
      <w:sz w:val="18"/>
      <w:szCs w:val="18"/>
    </w:rPr>
  </w:style>
  <w:style w:type="paragraph" w:styleId="22">
    <w:name w:val="toc 3"/>
    <w:basedOn w:val="1"/>
    <w:next w:val="1"/>
    <w:unhideWhenUsed/>
    <w:qFormat/>
    <w:uiPriority w:val="39"/>
    <w:pPr>
      <w:ind w:left="420"/>
      <w:jc w:val="left"/>
    </w:pPr>
    <w:rPr>
      <w:i/>
      <w:iCs/>
      <w:sz w:val="20"/>
      <w:szCs w:val="20"/>
    </w:rPr>
  </w:style>
  <w:style w:type="paragraph" w:styleId="23">
    <w:name w:val="Plain Text"/>
    <w:basedOn w:val="1"/>
    <w:link w:val="67"/>
    <w:qFormat/>
    <w:uiPriority w:val="0"/>
    <w:pPr>
      <w:widowControl/>
    </w:pPr>
    <w:rPr>
      <w:rFonts w:hint="eastAsia" w:ascii="宋体" w:hAnsi="Courier New" w:eastAsia="华文仿宋" w:cs="Courier New"/>
      <w:kern w:val="0"/>
      <w:sz w:val="20"/>
      <w:szCs w:val="21"/>
    </w:rPr>
  </w:style>
  <w:style w:type="paragraph" w:styleId="24">
    <w:name w:val="toc 8"/>
    <w:basedOn w:val="1"/>
    <w:next w:val="1"/>
    <w:unhideWhenUsed/>
    <w:qFormat/>
    <w:uiPriority w:val="39"/>
    <w:pPr>
      <w:ind w:left="1470"/>
      <w:jc w:val="left"/>
    </w:pPr>
    <w:rPr>
      <w:sz w:val="18"/>
      <w:szCs w:val="18"/>
    </w:rPr>
  </w:style>
  <w:style w:type="paragraph" w:styleId="25">
    <w:name w:val="Date"/>
    <w:basedOn w:val="1"/>
    <w:next w:val="1"/>
    <w:link w:val="76"/>
    <w:qFormat/>
    <w:uiPriority w:val="0"/>
    <w:pPr>
      <w:ind w:left="100" w:leftChars="2500"/>
    </w:pPr>
    <w:rPr>
      <w:rFonts w:ascii="仿宋_GB2312" w:hAnsi="宋体" w:eastAsia="仿宋_GB2312" w:cs="Times New Roman"/>
      <w:kern w:val="0"/>
      <w:sz w:val="32"/>
      <w:szCs w:val="20"/>
    </w:rPr>
  </w:style>
  <w:style w:type="paragraph" w:styleId="26">
    <w:name w:val="Balloon Text"/>
    <w:basedOn w:val="1"/>
    <w:link w:val="82"/>
    <w:semiHidden/>
    <w:qFormat/>
    <w:uiPriority w:val="0"/>
    <w:rPr>
      <w:rFonts w:ascii="Arial" w:hAnsi="Arial" w:eastAsia="华文仿宋" w:cs="Times New Roman"/>
      <w:kern w:val="0"/>
      <w:sz w:val="18"/>
      <w:szCs w:val="18"/>
    </w:rPr>
  </w:style>
  <w:style w:type="paragraph" w:styleId="27">
    <w:name w:val="footer"/>
    <w:basedOn w:val="1"/>
    <w:link w:val="50"/>
    <w:unhideWhenUsed/>
    <w:uiPriority w:val="99"/>
    <w:pPr>
      <w:tabs>
        <w:tab w:val="center" w:pos="4153"/>
        <w:tab w:val="right" w:pos="8306"/>
      </w:tabs>
      <w:snapToGrid w:val="0"/>
      <w:jc w:val="left"/>
    </w:pPr>
    <w:rPr>
      <w:sz w:val="18"/>
      <w:szCs w:val="18"/>
    </w:rPr>
  </w:style>
  <w:style w:type="paragraph" w:styleId="28">
    <w:name w:val="header"/>
    <w:basedOn w:val="1"/>
    <w:link w:val="49"/>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Subtitle"/>
    <w:basedOn w:val="31"/>
    <w:next w:val="13"/>
    <w:link w:val="156"/>
    <w:qFormat/>
    <w:uiPriority w:val="0"/>
    <w:pPr>
      <w:jc w:val="center"/>
    </w:pPr>
    <w:rPr>
      <w:i/>
      <w:iCs/>
    </w:rPr>
  </w:style>
  <w:style w:type="paragraph" w:customStyle="1" w:styleId="31">
    <w:name w:val="标题1"/>
    <w:basedOn w:val="1"/>
    <w:next w:val="13"/>
    <w:qFormat/>
    <w:uiPriority w:val="0"/>
    <w:pPr>
      <w:keepNext/>
      <w:suppressAutoHyphens/>
      <w:spacing w:before="240" w:after="120"/>
    </w:pPr>
    <w:rPr>
      <w:rFonts w:ascii="文鼎PL细上海宋Uni" w:hAnsi="文鼎PL细上海宋Uni" w:eastAsia="文鼎PL细上海宋Uni" w:cs="文鼎PL细上海宋Uni"/>
      <w:kern w:val="1"/>
      <w:sz w:val="28"/>
      <w:szCs w:val="28"/>
      <w:lang w:eastAsia="ar-SA"/>
    </w:rPr>
  </w:style>
  <w:style w:type="paragraph" w:styleId="32">
    <w:name w:val="List"/>
    <w:basedOn w:val="13"/>
    <w:semiHidden/>
    <w:uiPriority w:val="0"/>
    <w:pPr>
      <w:suppressAutoHyphens/>
      <w:adjustRightInd/>
      <w:spacing w:line="240" w:lineRule="auto"/>
      <w:textAlignment w:val="auto"/>
    </w:pPr>
    <w:rPr>
      <w:kern w:val="1"/>
      <w:sz w:val="21"/>
      <w:szCs w:val="24"/>
      <w:lang w:eastAsia="ar-SA"/>
    </w:rPr>
  </w:style>
  <w:style w:type="paragraph" w:styleId="33">
    <w:name w:val="footnote text"/>
    <w:basedOn w:val="1"/>
    <w:link w:val="154"/>
    <w:semiHidden/>
    <w:uiPriority w:val="0"/>
    <w:pPr>
      <w:suppressAutoHyphens/>
      <w:spacing w:after="240"/>
      <w:ind w:hanging="720"/>
    </w:pPr>
    <w:rPr>
      <w:rFonts w:ascii="Times New Roman" w:hAnsi="Times New Roman" w:eastAsia="宋体" w:cs="Times New Roman"/>
      <w:kern w:val="1"/>
      <w:szCs w:val="24"/>
      <w:lang w:eastAsia="ar-SA"/>
    </w:rPr>
  </w:style>
  <w:style w:type="paragraph" w:styleId="34">
    <w:name w:val="toc 6"/>
    <w:basedOn w:val="1"/>
    <w:next w:val="1"/>
    <w:unhideWhenUsed/>
    <w:qFormat/>
    <w:uiPriority w:val="39"/>
    <w:pPr>
      <w:ind w:left="1050"/>
      <w:jc w:val="left"/>
    </w:pPr>
    <w:rPr>
      <w:sz w:val="18"/>
      <w:szCs w:val="18"/>
    </w:rPr>
  </w:style>
  <w:style w:type="paragraph" w:styleId="35">
    <w:name w:val="Body Text Indent 3"/>
    <w:basedOn w:val="1"/>
    <w:link w:val="98"/>
    <w:qFormat/>
    <w:uiPriority w:val="0"/>
    <w:pPr>
      <w:spacing w:after="120"/>
      <w:ind w:left="420" w:leftChars="200"/>
    </w:pPr>
    <w:rPr>
      <w:rFonts w:ascii="Arial" w:hAnsi="Arial" w:eastAsia="华文仿宋" w:cs="Times New Roman"/>
      <w:sz w:val="16"/>
      <w:szCs w:val="16"/>
      <w:lang w:val="zh-CN" w:eastAsia="zh-CN"/>
    </w:rPr>
  </w:style>
  <w:style w:type="paragraph" w:styleId="36">
    <w:name w:val="table of figures"/>
    <w:basedOn w:val="1"/>
    <w:next w:val="1"/>
    <w:semiHidden/>
    <w:uiPriority w:val="0"/>
    <w:pPr>
      <w:ind w:left="420" w:hanging="420"/>
      <w:jc w:val="left"/>
    </w:pPr>
    <w:rPr>
      <w:rFonts w:ascii="Arial" w:hAnsi="Arial" w:eastAsia="华文仿宋" w:cs="Times New Roman"/>
      <w:caps/>
      <w:kern w:val="0"/>
      <w:sz w:val="20"/>
      <w:szCs w:val="20"/>
    </w:rPr>
  </w:style>
  <w:style w:type="paragraph" w:styleId="37">
    <w:name w:val="toc 2"/>
    <w:basedOn w:val="1"/>
    <w:next w:val="1"/>
    <w:unhideWhenUsed/>
    <w:qFormat/>
    <w:uiPriority w:val="39"/>
    <w:pPr>
      <w:ind w:left="210"/>
      <w:jc w:val="left"/>
    </w:pPr>
    <w:rPr>
      <w:smallCaps/>
      <w:sz w:val="20"/>
      <w:szCs w:val="20"/>
    </w:rPr>
  </w:style>
  <w:style w:type="paragraph" w:styleId="38">
    <w:name w:val="toc 9"/>
    <w:basedOn w:val="1"/>
    <w:next w:val="1"/>
    <w:unhideWhenUsed/>
    <w:qFormat/>
    <w:uiPriority w:val="39"/>
    <w:pPr>
      <w:ind w:left="1680"/>
      <w:jc w:val="left"/>
    </w:pPr>
    <w:rPr>
      <w:sz w:val="18"/>
      <w:szCs w:val="18"/>
    </w:rPr>
  </w:style>
  <w:style w:type="paragraph" w:styleId="39">
    <w:name w:val="HTML Preformatted"/>
    <w:basedOn w:val="1"/>
    <w:link w:val="1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Unicode MS" w:hAnsi="Arial Unicode MS" w:eastAsia="Arial Unicode MS" w:cs="Arial Unicode MS"/>
      <w:kern w:val="1"/>
      <w:sz w:val="20"/>
      <w:szCs w:val="20"/>
      <w:lang w:eastAsia="ar-SA"/>
    </w:rPr>
  </w:style>
  <w:style w:type="paragraph" w:styleId="4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41">
    <w:name w:val="Title"/>
    <w:basedOn w:val="1"/>
    <w:next w:val="30"/>
    <w:link w:val="155"/>
    <w:qFormat/>
    <w:uiPriority w:val="0"/>
    <w:pPr>
      <w:keepLines/>
      <w:suppressAutoHyphens/>
      <w:spacing w:after="120"/>
      <w:ind w:left="2520" w:right="720"/>
    </w:pPr>
    <w:rPr>
      <w:rFonts w:ascii="Book Antiqua" w:hAnsi="Book Antiqua" w:eastAsia="宋体" w:cs="Times New Roman"/>
      <w:kern w:val="1"/>
      <w:sz w:val="48"/>
      <w:szCs w:val="24"/>
      <w:lang w:eastAsia="ar-SA"/>
    </w:rPr>
  </w:style>
  <w:style w:type="table" w:styleId="43">
    <w:name w:val="Table Grid"/>
    <w:basedOn w:val="42"/>
    <w:qFormat/>
    <w:uiPriority w:val="59"/>
    <w:rPr>
      <w:rFonts w:ascii="Arial" w:hAnsi="Arial" w:eastAsia="华文仿宋"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semiHidden/>
    <w:qFormat/>
    <w:uiPriority w:val="0"/>
    <w:rPr>
      <w:color w:val="800080"/>
      <w:u w:val="single"/>
    </w:rPr>
  </w:style>
  <w:style w:type="character" w:styleId="48">
    <w:name w:val="Hyperlink"/>
    <w:basedOn w:val="44"/>
    <w:unhideWhenUsed/>
    <w:qFormat/>
    <w:uiPriority w:val="99"/>
    <w:rPr>
      <w:color w:val="0563C1" w:themeColor="hyperlink"/>
      <w:u w:val="single"/>
      <w14:textFill>
        <w14:solidFill>
          <w14:schemeClr w14:val="hlink"/>
        </w14:solidFill>
      </w14:textFill>
    </w:rPr>
  </w:style>
  <w:style w:type="character" w:customStyle="1" w:styleId="49">
    <w:name w:val="页眉 Char"/>
    <w:basedOn w:val="44"/>
    <w:link w:val="28"/>
    <w:qFormat/>
    <w:uiPriority w:val="0"/>
    <w:rPr>
      <w:sz w:val="18"/>
      <w:szCs w:val="18"/>
    </w:rPr>
  </w:style>
  <w:style w:type="character" w:customStyle="1" w:styleId="50">
    <w:name w:val="页脚 Char"/>
    <w:basedOn w:val="44"/>
    <w:link w:val="27"/>
    <w:qFormat/>
    <w:uiPriority w:val="99"/>
    <w:rPr>
      <w:sz w:val="18"/>
      <w:szCs w:val="18"/>
    </w:rPr>
  </w:style>
  <w:style w:type="paragraph" w:customStyle="1" w:styleId="51">
    <w:name w:val="Table Paragraph"/>
    <w:basedOn w:val="1"/>
    <w:qFormat/>
    <w:uiPriority w:val="1"/>
    <w:pPr>
      <w:jc w:val="left"/>
    </w:pPr>
    <w:rPr>
      <w:kern w:val="0"/>
      <w:sz w:val="22"/>
      <w:lang w:eastAsia="en-US"/>
    </w:rPr>
  </w:style>
  <w:style w:type="table" w:customStyle="1" w:styleId="52">
    <w:name w:val="Table Normal"/>
    <w:semiHidden/>
    <w:qFormat/>
    <w:uiPriority w:val="2"/>
    <w:pPr>
      <w:widowControl w:val="0"/>
    </w:pPr>
    <w:rPr>
      <w:rFonts w:eastAsia="Times New Roman"/>
      <w:kern w:val="0"/>
      <w:sz w:val="22"/>
      <w:lang w:eastAsia="en-US"/>
    </w:rPr>
    <w:tblPr>
      <w:tblCellMar>
        <w:top w:w="0" w:type="dxa"/>
        <w:left w:w="0" w:type="dxa"/>
        <w:bottom w:w="0" w:type="dxa"/>
        <w:right w:w="0" w:type="dxa"/>
      </w:tblCellMar>
    </w:tblPr>
  </w:style>
  <w:style w:type="paragraph" w:customStyle="1" w:styleId="53">
    <w:name w:val="CYF小节"/>
    <w:basedOn w:val="5"/>
    <w:link w:val="54"/>
    <w:qFormat/>
    <w:uiPriority w:val="0"/>
    <w:rPr>
      <w:rFonts w:ascii="华文仿宋" w:hAnsi="华文仿宋" w:eastAsia="仿宋_GB2312" w:cs="Times New Roman"/>
      <w:kern w:val="0"/>
      <w:sz w:val="24"/>
      <w:szCs w:val="24"/>
    </w:rPr>
  </w:style>
  <w:style w:type="character" w:customStyle="1" w:styleId="54">
    <w:name w:val="CYF小节 Char"/>
    <w:link w:val="53"/>
    <w:qFormat/>
    <w:uiPriority w:val="0"/>
    <w:rPr>
      <w:rFonts w:ascii="华文仿宋" w:hAnsi="华文仿宋" w:eastAsia="仿宋_GB2312" w:cs="Times New Roman"/>
      <w:b/>
      <w:bCs/>
      <w:kern w:val="0"/>
      <w:sz w:val="24"/>
      <w:szCs w:val="24"/>
    </w:rPr>
  </w:style>
  <w:style w:type="paragraph" w:customStyle="1" w:styleId="55">
    <w:name w:val="样式1"/>
    <w:basedOn w:val="3"/>
    <w:qFormat/>
    <w:uiPriority w:val="0"/>
    <w:pPr>
      <w:tabs>
        <w:tab w:val="left" w:pos="0"/>
        <w:tab w:val="left" w:pos="2268"/>
      </w:tabs>
      <w:jc w:val="center"/>
    </w:pPr>
    <w:rPr>
      <w:rFonts w:ascii="华文仿宋" w:hAnsi="华文仿宋" w:eastAsia="华文仿宋" w:cs="Times New Roman"/>
    </w:rPr>
  </w:style>
  <w:style w:type="paragraph" w:customStyle="1" w:styleId="56">
    <w:name w:val="样式3"/>
    <w:basedOn w:val="4"/>
    <w:qFormat/>
    <w:uiPriority w:val="0"/>
    <w:rPr>
      <w:rFonts w:ascii="华文仿宋" w:hAnsi="华文仿宋" w:eastAsia="华文仿宋" w:cs="Times New Roman"/>
    </w:rPr>
  </w:style>
  <w:style w:type="character" w:customStyle="1" w:styleId="57">
    <w:name w:val="标题 3 Char"/>
    <w:basedOn w:val="44"/>
    <w:link w:val="5"/>
    <w:qFormat/>
    <w:uiPriority w:val="0"/>
    <w:rPr>
      <w:b/>
      <w:bCs/>
      <w:sz w:val="32"/>
      <w:szCs w:val="32"/>
    </w:rPr>
  </w:style>
  <w:style w:type="character" w:customStyle="1" w:styleId="58">
    <w:name w:val="标题 1 Char"/>
    <w:basedOn w:val="44"/>
    <w:link w:val="3"/>
    <w:qFormat/>
    <w:uiPriority w:val="0"/>
    <w:rPr>
      <w:b/>
      <w:bCs/>
      <w:kern w:val="44"/>
      <w:sz w:val="44"/>
      <w:szCs w:val="44"/>
    </w:rPr>
  </w:style>
  <w:style w:type="paragraph" w:styleId="59">
    <w:name w:val="List Paragraph"/>
    <w:basedOn w:val="1"/>
    <w:link w:val="70"/>
    <w:qFormat/>
    <w:uiPriority w:val="0"/>
    <w:pPr>
      <w:ind w:firstLine="420" w:firstLineChars="200"/>
    </w:pPr>
  </w:style>
  <w:style w:type="paragraph" w:customStyle="1" w:styleId="60">
    <w:name w:val="p0"/>
    <w:basedOn w:val="1"/>
    <w:qFormat/>
    <w:uiPriority w:val="0"/>
    <w:pPr>
      <w:widowControl/>
    </w:pPr>
    <w:rPr>
      <w:rFonts w:ascii="Times New Roman" w:hAnsi="Times New Roman" w:eastAsia="宋体" w:cs="Times New Roman"/>
      <w:kern w:val="0"/>
      <w:szCs w:val="21"/>
    </w:rPr>
  </w:style>
  <w:style w:type="table" w:customStyle="1" w:styleId="61">
    <w:name w:val="Plain Table 2"/>
    <w:basedOn w:val="42"/>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62">
    <w:name w:val="CYF节"/>
    <w:basedOn w:val="5"/>
    <w:link w:val="63"/>
    <w:qFormat/>
    <w:uiPriority w:val="0"/>
    <w:pPr>
      <w:numPr>
        <w:ilvl w:val="1"/>
        <w:numId w:val="2"/>
      </w:numPr>
      <w:tabs>
        <w:tab w:val="left" w:pos="709"/>
      </w:tabs>
    </w:pPr>
    <w:rPr>
      <w:rFonts w:ascii="华文仿宋" w:hAnsi="华文仿宋" w:eastAsia="仿宋_GB2312" w:cs="Times New Roman"/>
      <w:lang w:val="zh-CN" w:eastAsia="zh-CN"/>
    </w:rPr>
  </w:style>
  <w:style w:type="character" w:customStyle="1" w:styleId="63">
    <w:name w:val="CYF节 Char"/>
    <w:link w:val="62"/>
    <w:qFormat/>
    <w:uiPriority w:val="0"/>
    <w:rPr>
      <w:rFonts w:ascii="华文仿宋" w:hAnsi="华文仿宋" w:eastAsia="仿宋_GB2312" w:cs="Times New Roman"/>
      <w:b/>
      <w:bCs/>
      <w:sz w:val="32"/>
      <w:szCs w:val="32"/>
      <w:lang w:val="zh-CN" w:eastAsia="zh-CN"/>
    </w:rPr>
  </w:style>
  <w:style w:type="character" w:customStyle="1" w:styleId="64">
    <w:name w:val="正文文本 Char"/>
    <w:basedOn w:val="44"/>
    <w:link w:val="13"/>
    <w:qFormat/>
    <w:uiPriority w:val="0"/>
    <w:rPr>
      <w:rFonts w:ascii="Times New Roman" w:hAnsi="Times New Roman" w:eastAsia="宋体" w:cs="Times New Roman"/>
      <w:kern w:val="0"/>
      <w:sz w:val="28"/>
      <w:szCs w:val="28"/>
    </w:rPr>
  </w:style>
  <w:style w:type="character" w:customStyle="1" w:styleId="65">
    <w:name w:val="t_tag"/>
    <w:basedOn w:val="44"/>
    <w:qFormat/>
    <w:uiPriority w:val="0"/>
  </w:style>
  <w:style w:type="character" w:customStyle="1" w:styleId="66">
    <w:name w:val="apple-style-span"/>
    <w:basedOn w:val="44"/>
    <w:qFormat/>
    <w:uiPriority w:val="0"/>
  </w:style>
  <w:style w:type="character" w:customStyle="1" w:styleId="67">
    <w:name w:val="纯文本 Char"/>
    <w:basedOn w:val="44"/>
    <w:link w:val="23"/>
    <w:qFormat/>
    <w:uiPriority w:val="0"/>
    <w:rPr>
      <w:rFonts w:ascii="宋体" w:hAnsi="Courier New" w:eastAsia="华文仿宋" w:cs="Courier New"/>
      <w:kern w:val="0"/>
      <w:sz w:val="20"/>
      <w:szCs w:val="21"/>
    </w:rPr>
  </w:style>
  <w:style w:type="character" w:customStyle="1" w:styleId="68">
    <w:name w:val="标题 2 Char"/>
    <w:basedOn w:val="44"/>
    <w:link w:val="4"/>
    <w:qFormat/>
    <w:uiPriority w:val="0"/>
    <w:rPr>
      <w:rFonts w:asciiTheme="majorHAnsi" w:hAnsiTheme="majorHAnsi" w:eastAsiaTheme="majorEastAsia" w:cstheme="majorBidi"/>
      <w:b/>
      <w:bCs/>
      <w:sz w:val="32"/>
      <w:szCs w:val="32"/>
    </w:rPr>
  </w:style>
  <w:style w:type="character" w:customStyle="1" w:styleId="69">
    <w:name w:val="标题 4 Char"/>
    <w:basedOn w:val="44"/>
    <w:link w:val="7"/>
    <w:qFormat/>
    <w:uiPriority w:val="0"/>
    <w:rPr>
      <w:rFonts w:asciiTheme="majorHAnsi" w:hAnsiTheme="majorHAnsi" w:eastAsiaTheme="majorEastAsia" w:cstheme="majorBidi"/>
      <w:b/>
      <w:bCs/>
      <w:sz w:val="24"/>
      <w:szCs w:val="28"/>
    </w:rPr>
  </w:style>
  <w:style w:type="character" w:customStyle="1" w:styleId="70">
    <w:name w:val="列出段落 Char"/>
    <w:link w:val="59"/>
    <w:qFormat/>
    <w:locked/>
    <w:uiPriority w:val="0"/>
  </w:style>
  <w:style w:type="character" w:customStyle="1" w:styleId="71">
    <w:name w:val="标题 5 Char"/>
    <w:basedOn w:val="44"/>
    <w:link w:val="8"/>
    <w:qFormat/>
    <w:uiPriority w:val="9"/>
    <w:rPr>
      <w:b/>
      <w:bCs/>
      <w:sz w:val="28"/>
      <w:szCs w:val="28"/>
    </w:rPr>
  </w:style>
  <w:style w:type="character" w:customStyle="1" w:styleId="72">
    <w:name w:val="标题 6 Char"/>
    <w:basedOn w:val="44"/>
    <w:link w:val="9"/>
    <w:qFormat/>
    <w:uiPriority w:val="9"/>
    <w:rPr>
      <w:rFonts w:asciiTheme="majorHAnsi" w:hAnsiTheme="majorHAnsi" w:eastAsiaTheme="majorEastAsia" w:cstheme="majorBidi"/>
      <w:b/>
      <w:bCs/>
      <w:sz w:val="24"/>
      <w:szCs w:val="24"/>
    </w:rPr>
  </w:style>
  <w:style w:type="character" w:customStyle="1" w:styleId="73">
    <w:name w:val="标题 7 Char"/>
    <w:basedOn w:val="44"/>
    <w:link w:val="10"/>
    <w:semiHidden/>
    <w:qFormat/>
    <w:uiPriority w:val="9"/>
    <w:rPr>
      <w:rFonts w:ascii="Arial" w:hAnsi="Arial" w:eastAsia="华文仿宋" w:cs="Times New Roman"/>
      <w:b/>
      <w:bCs/>
      <w:kern w:val="0"/>
      <w:sz w:val="24"/>
      <w:szCs w:val="24"/>
    </w:rPr>
  </w:style>
  <w:style w:type="character" w:customStyle="1" w:styleId="74">
    <w:name w:val="正文首行缩进 Char"/>
    <w:basedOn w:val="64"/>
    <w:link w:val="12"/>
    <w:qFormat/>
    <w:uiPriority w:val="0"/>
    <w:rPr>
      <w:rFonts w:ascii="Arial" w:hAnsi="Arial" w:eastAsia="华文仿宋" w:cs="Times New Roman"/>
      <w:kern w:val="0"/>
      <w:sz w:val="28"/>
      <w:szCs w:val="28"/>
    </w:rPr>
  </w:style>
  <w:style w:type="character" w:customStyle="1" w:styleId="75">
    <w:name w:val="正文文本缩进 Char"/>
    <w:basedOn w:val="44"/>
    <w:link w:val="20"/>
    <w:qFormat/>
    <w:uiPriority w:val="0"/>
    <w:rPr>
      <w:rFonts w:ascii="仿宋_GB2312" w:hAnsi="宋体" w:eastAsia="仿宋_GB2312" w:cs="Times New Roman"/>
      <w:kern w:val="0"/>
      <w:sz w:val="32"/>
      <w:szCs w:val="32"/>
    </w:rPr>
  </w:style>
  <w:style w:type="character" w:customStyle="1" w:styleId="76">
    <w:name w:val="日期 Char"/>
    <w:basedOn w:val="44"/>
    <w:link w:val="25"/>
    <w:qFormat/>
    <w:uiPriority w:val="0"/>
    <w:rPr>
      <w:rFonts w:ascii="仿宋_GB2312" w:hAnsi="宋体" w:eastAsia="仿宋_GB2312" w:cs="Times New Roman"/>
      <w:kern w:val="0"/>
      <w:sz w:val="32"/>
      <w:szCs w:val="20"/>
    </w:rPr>
  </w:style>
  <w:style w:type="paragraph" w:customStyle="1" w:styleId="77">
    <w:name w:val="表格"/>
    <w:basedOn w:val="1"/>
    <w:qFormat/>
    <w:uiPriority w:val="0"/>
    <w:pPr>
      <w:spacing w:line="460" w:lineRule="exact"/>
      <w:jc w:val="center"/>
    </w:pPr>
    <w:rPr>
      <w:rFonts w:ascii="宋体" w:hAnsi="宋体" w:eastAsia="华文仿宋" w:cs="Times New Roman"/>
      <w:kern w:val="0"/>
      <w:sz w:val="24"/>
      <w:szCs w:val="20"/>
    </w:rPr>
  </w:style>
  <w:style w:type="paragraph" w:customStyle="1" w:styleId="78">
    <w:name w:val="样式 标题 1H1PIM 1h11st levelSection Headl11H11H12H13H14..."/>
    <w:basedOn w:val="3"/>
    <w:next w:val="16"/>
    <w:qFormat/>
    <w:uiPriority w:val="0"/>
    <w:pPr>
      <w:numPr>
        <w:ilvl w:val="0"/>
        <w:numId w:val="3"/>
      </w:numPr>
      <w:spacing w:before="0" w:after="0" w:line="500" w:lineRule="exact"/>
    </w:pPr>
    <w:rPr>
      <w:rFonts w:ascii="Arial" w:hAnsi="Arial" w:eastAsia="华文仿宋" w:cs="Times New Roman"/>
      <w:lang w:val="zh-CN" w:eastAsia="zh-CN"/>
    </w:rPr>
  </w:style>
  <w:style w:type="paragraph" w:customStyle="1" w:styleId="79">
    <w:name w:val="样式 标题 3BOD 0h3H3sect1.2.3Heading 3 - oldlevel_3PIM 3Leve..."/>
    <w:basedOn w:val="5"/>
    <w:qFormat/>
    <w:uiPriority w:val="0"/>
    <w:pPr>
      <w:numPr>
        <w:numId w:val="3"/>
      </w:numPr>
      <w:spacing w:before="0" w:after="0" w:line="500" w:lineRule="exact"/>
    </w:pPr>
    <w:rPr>
      <w:rFonts w:ascii="Arial" w:hAnsi="Arial" w:eastAsia="华文仿宋" w:cs="Times New Roman"/>
      <w:kern w:val="0"/>
      <w:lang w:val="zh-CN" w:eastAsia="zh-CN"/>
    </w:rPr>
  </w:style>
  <w:style w:type="paragraph" w:customStyle="1" w:styleId="80">
    <w:name w:val="正文1"/>
    <w:basedOn w:val="1"/>
    <w:qFormat/>
    <w:uiPriority w:val="0"/>
    <w:pPr>
      <w:numPr>
        <w:ilvl w:val="0"/>
        <w:numId w:val="4"/>
      </w:numPr>
      <w:tabs>
        <w:tab w:val="left" w:pos="360"/>
        <w:tab w:val="clear" w:pos="981"/>
      </w:tabs>
      <w:spacing w:before="60" w:after="60" w:line="360" w:lineRule="auto"/>
      <w:ind w:left="0" w:firstLine="0"/>
      <w:outlineLvl w:val="6"/>
    </w:pPr>
    <w:rPr>
      <w:rFonts w:ascii="Arial" w:hAnsi="Arial" w:eastAsia="仿宋_GB2312" w:cs="Times New Roman"/>
      <w:kern w:val="0"/>
      <w:sz w:val="28"/>
      <w:szCs w:val="28"/>
    </w:rPr>
  </w:style>
  <w:style w:type="paragraph" w:customStyle="1" w:styleId="81">
    <w:name w:val="样式2"/>
    <w:basedOn w:val="1"/>
    <w:qFormat/>
    <w:uiPriority w:val="0"/>
    <w:pPr>
      <w:numPr>
        <w:ilvl w:val="1"/>
        <w:numId w:val="5"/>
      </w:numPr>
      <w:adjustRightInd w:val="0"/>
      <w:textAlignment w:val="baseline"/>
    </w:pPr>
    <w:rPr>
      <w:rFonts w:ascii="宋体" w:hAnsi="宋体" w:eastAsia="华文仿宋" w:cs="Times New Roman"/>
      <w:kern w:val="0"/>
      <w:sz w:val="20"/>
      <w:szCs w:val="21"/>
    </w:rPr>
  </w:style>
  <w:style w:type="character" w:customStyle="1" w:styleId="82">
    <w:name w:val="批注框文本 Char"/>
    <w:basedOn w:val="44"/>
    <w:link w:val="26"/>
    <w:semiHidden/>
    <w:qFormat/>
    <w:uiPriority w:val="0"/>
    <w:rPr>
      <w:rFonts w:ascii="Arial" w:hAnsi="Arial" w:eastAsia="华文仿宋" w:cs="Times New Roman"/>
      <w:kern w:val="0"/>
      <w:sz w:val="18"/>
      <w:szCs w:val="18"/>
    </w:rPr>
  </w:style>
  <w:style w:type="paragraph" w:customStyle="1" w:styleId="83">
    <w:name w:val="font5"/>
    <w:basedOn w:val="1"/>
    <w:qFormat/>
    <w:uiPriority w:val="0"/>
    <w:pPr>
      <w:widowControl/>
      <w:spacing w:before="100" w:beforeAutospacing="1" w:after="100" w:afterAutospacing="1"/>
      <w:jc w:val="left"/>
    </w:pPr>
    <w:rPr>
      <w:rFonts w:hint="eastAsia" w:ascii="宋体" w:hAnsi="宋体" w:eastAsia="华文仿宋" w:cs="Times New Roman"/>
      <w:kern w:val="0"/>
      <w:sz w:val="18"/>
      <w:szCs w:val="18"/>
    </w:rPr>
  </w:style>
  <w:style w:type="paragraph" w:customStyle="1" w:styleId="84">
    <w:name w:val="font6"/>
    <w:basedOn w:val="1"/>
    <w:qFormat/>
    <w:uiPriority w:val="0"/>
    <w:pPr>
      <w:widowControl/>
      <w:spacing w:before="100" w:beforeAutospacing="1" w:after="100" w:afterAutospacing="1"/>
      <w:jc w:val="left"/>
    </w:pPr>
    <w:rPr>
      <w:rFonts w:hint="eastAsia" w:ascii="宋体" w:hAnsi="宋体" w:eastAsia="华文仿宋" w:cs="Times New Roman"/>
      <w:b/>
      <w:bCs/>
      <w:kern w:val="0"/>
      <w:sz w:val="20"/>
      <w:szCs w:val="20"/>
    </w:rPr>
  </w:style>
  <w:style w:type="paragraph" w:customStyle="1" w:styleId="85">
    <w:name w:val="font7"/>
    <w:basedOn w:val="1"/>
    <w:qFormat/>
    <w:uiPriority w:val="0"/>
    <w:pPr>
      <w:widowControl/>
      <w:spacing w:before="100" w:beforeAutospacing="1" w:after="100" w:afterAutospacing="1"/>
      <w:jc w:val="left"/>
    </w:pPr>
    <w:rPr>
      <w:rFonts w:ascii="Arial" w:hAnsi="Arial" w:eastAsia="华文仿宋" w:cs="Arial"/>
      <w:b/>
      <w:bCs/>
      <w:kern w:val="0"/>
      <w:sz w:val="20"/>
      <w:szCs w:val="20"/>
    </w:rPr>
  </w:style>
  <w:style w:type="paragraph" w:customStyle="1" w:styleId="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华文仿宋" w:cs="Arial"/>
      <w:b/>
      <w:bCs/>
      <w:kern w:val="0"/>
      <w:sz w:val="20"/>
      <w:szCs w:val="20"/>
    </w:rPr>
  </w:style>
  <w:style w:type="paragraph" w:customStyle="1" w:styleId="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华文仿宋" w:cs="Times New Roman"/>
      <w:b/>
      <w:bCs/>
      <w:kern w:val="0"/>
      <w:sz w:val="20"/>
      <w:szCs w:val="20"/>
    </w:rPr>
  </w:style>
  <w:style w:type="paragraph" w:customStyle="1" w:styleId="8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华文仿宋" w:cs="Arial"/>
      <w:b/>
      <w:bCs/>
      <w:kern w:val="0"/>
      <w:sz w:val="20"/>
      <w:szCs w:val="20"/>
    </w:rPr>
  </w:style>
  <w:style w:type="paragraph" w:customStyle="1" w:styleId="89">
    <w:name w:val="表格文字"/>
    <w:basedOn w:val="20"/>
    <w:qFormat/>
    <w:uiPriority w:val="0"/>
    <w:pPr>
      <w:spacing w:before="60" w:after="60"/>
      <w:ind w:left="0" w:leftChars="0"/>
    </w:pPr>
    <w:rPr>
      <w:rFonts w:ascii="Times New Roman" w:hAnsi="Times New Roman" w:eastAsia="宋体"/>
      <w:sz w:val="24"/>
      <w:szCs w:val="24"/>
    </w:rPr>
  </w:style>
  <w:style w:type="character" w:customStyle="1" w:styleId="90">
    <w:name w:val="正文文本 2 Char"/>
    <w:basedOn w:val="44"/>
    <w:link w:val="2"/>
    <w:qFormat/>
    <w:uiPriority w:val="0"/>
    <w:rPr>
      <w:rFonts w:ascii="仿宋_GB2312" w:hAnsi="宋体" w:eastAsia="仿宋_GB2312" w:cs="Times New Roman"/>
      <w:b/>
      <w:bCs/>
      <w:kern w:val="0"/>
      <w:sz w:val="32"/>
      <w:szCs w:val="20"/>
    </w:rPr>
  </w:style>
  <w:style w:type="paragraph" w:styleId="91">
    <w:name w:val="No Spacing"/>
    <w:link w:val="92"/>
    <w:qFormat/>
    <w:uiPriority w:val="1"/>
    <w:pPr>
      <w:widowControl w:val="0"/>
      <w:jc w:val="both"/>
    </w:pPr>
    <w:rPr>
      <w:rFonts w:ascii="Arial" w:hAnsi="Arial" w:eastAsia="华文仿宋" w:cs="Times New Roman"/>
      <w:kern w:val="2"/>
      <w:sz w:val="21"/>
      <w:szCs w:val="22"/>
      <w:lang w:val="en-US" w:eastAsia="zh-CN" w:bidi="ar-SA"/>
    </w:rPr>
  </w:style>
  <w:style w:type="character" w:customStyle="1" w:styleId="92">
    <w:name w:val="无间隔 Char"/>
    <w:basedOn w:val="44"/>
    <w:link w:val="91"/>
    <w:qFormat/>
    <w:uiPriority w:val="1"/>
    <w:rPr>
      <w:rFonts w:ascii="Arial" w:hAnsi="Arial" w:eastAsia="华文仿宋" w:cs="Times New Roman"/>
    </w:rPr>
  </w:style>
  <w:style w:type="paragraph" w:customStyle="1" w:styleId="93">
    <w:name w:val="TOC Heading"/>
    <w:basedOn w:val="3"/>
    <w:next w:val="1"/>
    <w:semiHidden/>
    <w:unhideWhenUsed/>
    <w:qFormat/>
    <w:uiPriority w:val="39"/>
    <w:pPr>
      <w:outlineLvl w:val="9"/>
    </w:pPr>
    <w:rPr>
      <w:rFonts w:ascii="Arial" w:hAnsi="Arial" w:eastAsia="华文仿宋" w:cs="Times New Roman"/>
      <w:lang w:val="zh-CN" w:eastAsia="zh-CN"/>
    </w:rPr>
  </w:style>
  <w:style w:type="character" w:customStyle="1" w:styleId="94">
    <w:name w:val="称呼 Char"/>
    <w:basedOn w:val="44"/>
    <w:link w:val="18"/>
    <w:qFormat/>
    <w:uiPriority w:val="0"/>
    <w:rPr>
      <w:rFonts w:ascii="仿宋_GB2312" w:hAnsi="Arial" w:eastAsia="仿宋_GB2312" w:cs="Times New Roman"/>
      <w:sz w:val="32"/>
      <w:szCs w:val="32"/>
      <w:lang w:val="zh-CN" w:eastAsia="zh-CN"/>
    </w:rPr>
  </w:style>
  <w:style w:type="character" w:customStyle="1" w:styleId="95">
    <w:name w:val="结束语 Char"/>
    <w:basedOn w:val="44"/>
    <w:link w:val="19"/>
    <w:qFormat/>
    <w:uiPriority w:val="0"/>
    <w:rPr>
      <w:rFonts w:ascii="仿宋_GB2312" w:hAnsi="Arial" w:eastAsia="仿宋_GB2312" w:cs="Times New Roman"/>
      <w:sz w:val="32"/>
      <w:szCs w:val="32"/>
      <w:lang w:val="zh-CN" w:eastAsia="zh-CN"/>
    </w:rPr>
  </w:style>
  <w:style w:type="paragraph" w:customStyle="1" w:styleId="96">
    <w:name w:val="xl28"/>
    <w:basedOn w:val="1"/>
    <w:qFormat/>
    <w:uiPriority w:val="0"/>
    <w:pPr>
      <w:widowControl/>
      <w:spacing w:before="100" w:beforeAutospacing="1" w:after="100" w:afterAutospacing="1"/>
      <w:jc w:val="center"/>
    </w:pPr>
    <w:rPr>
      <w:rFonts w:ascii="Arial Unicode MS" w:hAnsi="Arial Unicode MS" w:eastAsia="华文仿宋" w:cs="Times New Roman"/>
      <w:kern w:val="0"/>
      <w:sz w:val="24"/>
      <w:szCs w:val="20"/>
    </w:rPr>
  </w:style>
  <w:style w:type="paragraph" w:customStyle="1" w:styleId="97">
    <w:name w:val="缺省文本"/>
    <w:basedOn w:val="1"/>
    <w:qFormat/>
    <w:uiPriority w:val="0"/>
    <w:pPr>
      <w:jc w:val="left"/>
    </w:pPr>
    <w:rPr>
      <w:rFonts w:ascii="Arial" w:hAnsi="Arial" w:eastAsia="华文仿宋" w:cs="Times New Roman"/>
      <w:kern w:val="0"/>
      <w:sz w:val="24"/>
      <w:szCs w:val="20"/>
    </w:rPr>
  </w:style>
  <w:style w:type="character" w:customStyle="1" w:styleId="98">
    <w:name w:val="正文文本缩进 3 Char"/>
    <w:basedOn w:val="44"/>
    <w:link w:val="35"/>
    <w:qFormat/>
    <w:uiPriority w:val="0"/>
    <w:rPr>
      <w:rFonts w:ascii="Arial" w:hAnsi="Arial" w:eastAsia="华文仿宋" w:cs="Times New Roman"/>
      <w:sz w:val="16"/>
      <w:szCs w:val="16"/>
      <w:lang w:val="zh-CN" w:eastAsia="zh-CN"/>
    </w:rPr>
  </w:style>
  <w:style w:type="character" w:customStyle="1" w:styleId="99">
    <w:name w:val="brief2"/>
    <w:qFormat/>
    <w:uiPriority w:val="0"/>
    <w:rPr>
      <w:color w:val="444444"/>
      <w:sz w:val="24"/>
      <w:szCs w:val="24"/>
    </w:rPr>
  </w:style>
  <w:style w:type="character" w:customStyle="1" w:styleId="100">
    <w:name w:val="keyword3"/>
    <w:qFormat/>
    <w:uiPriority w:val="0"/>
    <w:rPr>
      <w:b/>
      <w:bCs/>
      <w:color w:val="000000"/>
      <w:sz w:val="29"/>
      <w:szCs w:val="29"/>
    </w:rPr>
  </w:style>
  <w:style w:type="paragraph" w:customStyle="1" w:styleId="101">
    <w:name w:val="目录级别1"/>
    <w:basedOn w:val="3"/>
    <w:link w:val="102"/>
    <w:qFormat/>
    <w:uiPriority w:val="0"/>
    <w:pPr>
      <w:ind w:left="420" w:hanging="420"/>
    </w:pPr>
    <w:rPr>
      <w:rFonts w:ascii="Arial" w:hAnsi="Arial" w:eastAsia="华文仿宋" w:cs="Times New Roman"/>
      <w:sz w:val="28"/>
      <w:szCs w:val="28"/>
      <w:lang w:val="zh-CN" w:eastAsia="zh-CN"/>
    </w:rPr>
  </w:style>
  <w:style w:type="character" w:customStyle="1" w:styleId="102">
    <w:name w:val="目录级别1 Char"/>
    <w:link w:val="101"/>
    <w:qFormat/>
    <w:uiPriority w:val="0"/>
    <w:rPr>
      <w:rFonts w:ascii="Arial" w:hAnsi="Arial" w:eastAsia="华文仿宋" w:cs="Times New Roman"/>
      <w:b/>
      <w:bCs/>
      <w:kern w:val="44"/>
      <w:sz w:val="28"/>
      <w:szCs w:val="28"/>
      <w:lang w:val="zh-CN" w:eastAsia="zh-CN"/>
    </w:rPr>
  </w:style>
  <w:style w:type="paragraph" w:customStyle="1" w:styleId="103">
    <w:name w:val="目录级别2"/>
    <w:basedOn w:val="4"/>
    <w:link w:val="104"/>
    <w:qFormat/>
    <w:uiPriority w:val="0"/>
    <w:pPr>
      <w:spacing w:line="360" w:lineRule="auto"/>
      <w:ind w:left="420" w:hanging="420"/>
    </w:pPr>
    <w:rPr>
      <w:rFonts w:ascii="Cambria" w:hAnsi="Cambria" w:eastAsia="华文仿宋" w:cs="Times New Roman"/>
      <w:kern w:val="0"/>
      <w:sz w:val="24"/>
      <w:lang w:val="zh-CN" w:eastAsia="zh-CN"/>
    </w:rPr>
  </w:style>
  <w:style w:type="character" w:customStyle="1" w:styleId="104">
    <w:name w:val="目录级别2 Char"/>
    <w:link w:val="103"/>
    <w:qFormat/>
    <w:uiPriority w:val="0"/>
    <w:rPr>
      <w:rFonts w:ascii="Cambria" w:hAnsi="Cambria" w:eastAsia="华文仿宋" w:cs="Times New Roman"/>
      <w:b/>
      <w:bCs/>
      <w:kern w:val="0"/>
      <w:sz w:val="24"/>
      <w:szCs w:val="32"/>
      <w:lang w:val="zh-CN" w:eastAsia="zh-CN"/>
    </w:rPr>
  </w:style>
  <w:style w:type="paragraph" w:customStyle="1" w:styleId="105">
    <w:name w:val="标题L1"/>
    <w:basedOn w:val="3"/>
    <w:link w:val="106"/>
    <w:qFormat/>
    <w:uiPriority w:val="0"/>
    <w:pPr>
      <w:tabs>
        <w:tab w:val="left" w:pos="0"/>
        <w:tab w:val="left" w:pos="2268"/>
      </w:tabs>
      <w:adjustRightInd w:val="0"/>
      <w:spacing w:line="360" w:lineRule="auto"/>
      <w:jc w:val="left"/>
      <w:textAlignment w:val="baseline"/>
    </w:pPr>
    <w:rPr>
      <w:rFonts w:ascii="华文仿宋" w:hAnsi="华文仿宋" w:eastAsia="华文仿宋" w:cs="Times New Roman"/>
      <w:sz w:val="36"/>
      <w:szCs w:val="36"/>
      <w:lang w:val="zh-CN" w:eastAsia="zh-CN"/>
    </w:rPr>
  </w:style>
  <w:style w:type="character" w:customStyle="1" w:styleId="106">
    <w:name w:val="标题L1 Char"/>
    <w:link w:val="105"/>
    <w:qFormat/>
    <w:uiPriority w:val="0"/>
    <w:rPr>
      <w:rFonts w:ascii="华文仿宋" w:hAnsi="华文仿宋" w:eastAsia="华文仿宋" w:cs="Times New Roman"/>
      <w:b/>
      <w:bCs/>
      <w:kern w:val="44"/>
      <w:sz w:val="36"/>
      <w:szCs w:val="36"/>
      <w:lang w:val="zh-CN" w:eastAsia="zh-CN"/>
    </w:rPr>
  </w:style>
  <w:style w:type="paragraph" w:customStyle="1" w:styleId="107">
    <w:name w:val="标题L3"/>
    <w:basedOn w:val="5"/>
    <w:link w:val="108"/>
    <w:qFormat/>
    <w:uiPriority w:val="0"/>
    <w:pPr>
      <w:tabs>
        <w:tab w:val="left" w:pos="1418"/>
      </w:tabs>
      <w:adjustRightInd w:val="0"/>
      <w:spacing w:line="360" w:lineRule="auto"/>
      <w:ind w:left="567" w:leftChars="270"/>
      <w:textAlignment w:val="baseline"/>
    </w:pPr>
    <w:rPr>
      <w:rFonts w:ascii="华文仿宋" w:hAnsi="华文仿宋" w:eastAsia="华文仿宋" w:cs="Times New Roman"/>
      <w:sz w:val="24"/>
      <w:szCs w:val="24"/>
      <w:lang w:val="zh-CN" w:eastAsia="zh-CN"/>
    </w:rPr>
  </w:style>
  <w:style w:type="character" w:customStyle="1" w:styleId="108">
    <w:name w:val="标题L3 Char"/>
    <w:link w:val="107"/>
    <w:qFormat/>
    <w:uiPriority w:val="0"/>
    <w:rPr>
      <w:rFonts w:ascii="华文仿宋" w:hAnsi="华文仿宋" w:eastAsia="华文仿宋" w:cs="Times New Roman"/>
      <w:b/>
      <w:bCs/>
      <w:sz w:val="24"/>
      <w:szCs w:val="24"/>
      <w:lang w:val="zh-CN" w:eastAsia="zh-CN"/>
    </w:rPr>
  </w:style>
  <w:style w:type="paragraph" w:customStyle="1" w:styleId="109">
    <w:name w:val="目录级别3"/>
    <w:basedOn w:val="5"/>
    <w:link w:val="110"/>
    <w:qFormat/>
    <w:uiPriority w:val="0"/>
    <w:pPr>
      <w:keepLines w:val="0"/>
      <w:numPr>
        <w:ilvl w:val="0"/>
        <w:numId w:val="0"/>
      </w:numPr>
      <w:spacing w:before="0" w:after="0" w:line="360" w:lineRule="auto"/>
      <w:ind w:left="720" w:hanging="720"/>
    </w:pPr>
    <w:rPr>
      <w:rFonts w:ascii="Arial" w:hAnsi="Arial" w:eastAsia="华文仿宋" w:cs="Times New Roman"/>
      <w:bCs w:val="0"/>
      <w:color w:val="000000"/>
      <w:kern w:val="0"/>
      <w:sz w:val="21"/>
      <w:szCs w:val="21"/>
      <w:lang w:val="zh-CN" w:eastAsia="zh-CN"/>
    </w:rPr>
  </w:style>
  <w:style w:type="character" w:customStyle="1" w:styleId="110">
    <w:name w:val="目录级别3 Char"/>
    <w:link w:val="109"/>
    <w:qFormat/>
    <w:uiPriority w:val="0"/>
    <w:rPr>
      <w:rFonts w:ascii="Arial" w:hAnsi="Arial" w:eastAsia="华文仿宋" w:cs="Times New Roman"/>
      <w:b/>
      <w:color w:val="000000"/>
      <w:kern w:val="0"/>
      <w:szCs w:val="21"/>
      <w:lang w:val="zh-CN" w:eastAsia="zh-CN"/>
    </w:rPr>
  </w:style>
  <w:style w:type="paragraph" w:customStyle="1" w:styleId="111">
    <w:name w:val="CYF章"/>
    <w:basedOn w:val="3"/>
    <w:next w:val="80"/>
    <w:link w:val="112"/>
    <w:qFormat/>
    <w:uiPriority w:val="0"/>
    <w:pPr>
      <w:pageBreakBefore/>
      <w:numPr>
        <w:ilvl w:val="0"/>
        <w:numId w:val="6"/>
      </w:numPr>
      <w:tabs>
        <w:tab w:val="left" w:pos="2127"/>
      </w:tabs>
      <w:jc w:val="center"/>
    </w:pPr>
    <w:rPr>
      <w:rFonts w:ascii="华文仿宋" w:hAnsi="华文仿宋" w:eastAsia="华文仿宋" w:cs="Times New Roman"/>
      <w:lang w:val="zh-CN" w:eastAsia="zh-CN"/>
    </w:rPr>
  </w:style>
  <w:style w:type="character" w:customStyle="1" w:styleId="112">
    <w:name w:val="CYF章 Char"/>
    <w:link w:val="111"/>
    <w:qFormat/>
    <w:uiPriority w:val="0"/>
    <w:rPr>
      <w:rFonts w:ascii="华文仿宋" w:hAnsi="华文仿宋" w:eastAsia="华文仿宋" w:cs="Times New Roman"/>
      <w:b/>
      <w:bCs/>
      <w:kern w:val="44"/>
      <w:sz w:val="44"/>
      <w:szCs w:val="44"/>
      <w:lang w:val="zh-CN" w:eastAsia="zh-CN"/>
    </w:rPr>
  </w:style>
  <w:style w:type="paragraph" w:customStyle="1" w:styleId="113">
    <w:name w:val="图"/>
    <w:basedOn w:val="1"/>
    <w:qFormat/>
    <w:uiPriority w:val="0"/>
    <w:pPr>
      <w:keepNext/>
      <w:adjustRightInd w:val="0"/>
      <w:spacing w:before="60" w:after="60" w:line="300" w:lineRule="auto"/>
      <w:jc w:val="center"/>
      <w:textAlignment w:val="center"/>
    </w:pPr>
    <w:rPr>
      <w:rFonts w:ascii="Times New Roman" w:hAnsi="Times New Roman" w:eastAsia="华文仿宋" w:cs="Times New Roman"/>
      <w:snapToGrid w:val="0"/>
      <w:spacing w:val="20"/>
      <w:kern w:val="0"/>
      <w:sz w:val="24"/>
      <w:szCs w:val="20"/>
    </w:rPr>
  </w:style>
  <w:style w:type="paragraph" w:customStyle="1" w:styleId="114">
    <w:name w:val="样式 小四 段前: 5 磅 段后: 5 磅 首行缩进:  2 字符"/>
    <w:basedOn w:val="1"/>
    <w:qFormat/>
    <w:uiPriority w:val="0"/>
    <w:pPr>
      <w:spacing w:line="360" w:lineRule="auto"/>
      <w:ind w:left="1080"/>
      <w:jc w:val="left"/>
    </w:pPr>
    <w:rPr>
      <w:rFonts w:ascii="宋体" w:hAnsi="宋体" w:eastAsia="华文仿宋" w:cs="Times New Roman"/>
      <w:kern w:val="0"/>
      <w:sz w:val="24"/>
      <w:szCs w:val="24"/>
      <w:lang w:val="zh-CN"/>
    </w:rPr>
  </w:style>
  <w:style w:type="paragraph" w:customStyle="1" w:styleId="115">
    <w:name w:val="Default"/>
    <w:qFormat/>
    <w:uiPriority w:val="0"/>
    <w:pPr>
      <w:widowControl w:val="0"/>
      <w:autoSpaceDE w:val="0"/>
      <w:autoSpaceDN w:val="0"/>
      <w:adjustRightInd w:val="0"/>
    </w:pPr>
    <w:rPr>
      <w:rFonts w:ascii="宋体" w:hAnsi="Times New Roman" w:eastAsia="华文仿宋" w:cs="宋体"/>
      <w:color w:val="000000"/>
      <w:kern w:val="0"/>
      <w:sz w:val="24"/>
      <w:szCs w:val="24"/>
      <w:lang w:val="en-US" w:eastAsia="zh-CN" w:bidi="ar-SA"/>
    </w:rPr>
  </w:style>
  <w:style w:type="paragraph" w:customStyle="1" w:styleId="116">
    <w:name w:val="sdnx3-3"/>
    <w:basedOn w:val="1"/>
    <w:qFormat/>
    <w:uiPriority w:val="0"/>
    <w:pPr>
      <w:spacing w:before="260" w:after="260" w:line="360" w:lineRule="auto"/>
      <w:outlineLvl w:val="2"/>
    </w:pPr>
    <w:rPr>
      <w:rFonts w:ascii="Times New Roman" w:hAnsi="Times New Roman" w:eastAsia="黑体" w:cs="Times New Roman"/>
      <w:b/>
      <w:color w:val="000000"/>
      <w:kern w:val="0"/>
      <w:sz w:val="32"/>
      <w:szCs w:val="21"/>
    </w:rPr>
  </w:style>
  <w:style w:type="character" w:customStyle="1" w:styleId="117">
    <w:name w:val="文档结构图 Char"/>
    <w:basedOn w:val="44"/>
    <w:link w:val="17"/>
    <w:qFormat/>
    <w:uiPriority w:val="0"/>
    <w:rPr>
      <w:rFonts w:ascii="宋体" w:hAnsi="Arial" w:eastAsia="宋体" w:cs="Times New Roman"/>
      <w:kern w:val="0"/>
      <w:sz w:val="18"/>
      <w:szCs w:val="18"/>
    </w:rPr>
  </w:style>
  <w:style w:type="paragraph" w:customStyle="1" w:styleId="118">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FF0000"/>
      <w:kern w:val="0"/>
      <w:sz w:val="24"/>
      <w:szCs w:val="24"/>
    </w:rPr>
  </w:style>
  <w:style w:type="paragraph" w:customStyle="1" w:styleId="119">
    <w:name w:val="表格表头"/>
    <w:basedOn w:val="1"/>
    <w:next w:val="16"/>
    <w:qFormat/>
    <w:uiPriority w:val="0"/>
    <w:pPr>
      <w:numPr>
        <w:ilvl w:val="0"/>
        <w:numId w:val="7"/>
      </w:numPr>
      <w:tabs>
        <w:tab w:val="left" w:pos="840"/>
        <w:tab w:val="clear" w:pos="360"/>
      </w:tabs>
      <w:ind w:left="840" w:hanging="420"/>
      <w:jc w:val="center"/>
    </w:pPr>
    <w:rPr>
      <w:rFonts w:ascii="Times New Roman" w:hAnsi="Times New Roman" w:eastAsia="宋体" w:cs="Times New Roman"/>
      <w:szCs w:val="24"/>
    </w:rPr>
  </w:style>
  <w:style w:type="character" w:customStyle="1" w:styleId="120">
    <w:name w:val="标题 8 Char"/>
    <w:basedOn w:val="44"/>
    <w:link w:val="11"/>
    <w:qFormat/>
    <w:uiPriority w:val="0"/>
    <w:rPr>
      <w:rFonts w:ascii="Times" w:hAnsi="Times" w:eastAsia="宋体" w:cs="Times New Roman"/>
      <w:i/>
      <w:kern w:val="1"/>
      <w:szCs w:val="24"/>
      <w:lang w:eastAsia="ar-SA"/>
    </w:rPr>
  </w:style>
  <w:style w:type="character" w:customStyle="1" w:styleId="121">
    <w:name w:val="标题 9 Char"/>
    <w:basedOn w:val="44"/>
    <w:link w:val="14"/>
    <w:qFormat/>
    <w:uiPriority w:val="0"/>
    <w:rPr>
      <w:rFonts w:ascii="Times" w:hAnsi="Times" w:eastAsia="宋体" w:cs="Times New Roman"/>
      <w:i/>
      <w:kern w:val="1"/>
      <w:szCs w:val="24"/>
      <w:lang w:eastAsia="ar-SA"/>
    </w:rPr>
  </w:style>
  <w:style w:type="character" w:customStyle="1" w:styleId="122">
    <w:name w:val="WW8Num10z0"/>
    <w:qFormat/>
    <w:uiPriority w:val="0"/>
    <w:rPr>
      <w:rFonts w:ascii="Times New Roman" w:hAnsi="Times New Roman"/>
      <w:sz w:val="21"/>
    </w:rPr>
  </w:style>
  <w:style w:type="character" w:customStyle="1" w:styleId="123">
    <w:name w:val="WW8Num14z0"/>
    <w:qFormat/>
    <w:uiPriority w:val="0"/>
    <w:rPr>
      <w:rFonts w:ascii="Verdana" w:hAnsi="Verdana" w:cs="Times New Roman"/>
      <w:sz w:val="21"/>
    </w:rPr>
  </w:style>
  <w:style w:type="character" w:customStyle="1" w:styleId="124">
    <w:name w:val="WW8Num15z0"/>
    <w:qFormat/>
    <w:uiPriority w:val="0"/>
    <w:rPr>
      <w:rFonts w:ascii="Times New Roman" w:hAnsi="Times New Roman" w:eastAsia="宋体" w:cs="Times New Roman"/>
    </w:rPr>
  </w:style>
  <w:style w:type="character" w:customStyle="1" w:styleId="125">
    <w:name w:val="WW8Num15z1"/>
    <w:qFormat/>
    <w:uiPriority w:val="0"/>
    <w:rPr>
      <w:rFonts w:ascii="Wingdings" w:hAnsi="Wingdings"/>
    </w:rPr>
  </w:style>
  <w:style w:type="character" w:customStyle="1" w:styleId="126">
    <w:name w:val="WW8Num18z0"/>
    <w:qFormat/>
    <w:uiPriority w:val="0"/>
    <w:rPr>
      <w:rFonts w:ascii="Wingdings" w:hAnsi="Wingdings"/>
    </w:rPr>
  </w:style>
  <w:style w:type="character" w:customStyle="1" w:styleId="127">
    <w:name w:val="WW8Num23z0"/>
    <w:qFormat/>
    <w:uiPriority w:val="0"/>
    <w:rPr>
      <w:rFonts w:ascii="Times New Roman" w:hAnsi="Times New Roman" w:cs="Times New Roman"/>
      <w:color w:val="auto"/>
      <w:sz w:val="21"/>
    </w:rPr>
  </w:style>
  <w:style w:type="character" w:customStyle="1" w:styleId="128">
    <w:name w:val="WW8Num24z0"/>
    <w:qFormat/>
    <w:uiPriority w:val="0"/>
    <w:rPr>
      <w:rFonts w:ascii="Symbol" w:hAnsi="Symbol"/>
      <w:sz w:val="20"/>
    </w:rPr>
  </w:style>
  <w:style w:type="character" w:customStyle="1" w:styleId="129">
    <w:name w:val="WW8Num24z1"/>
    <w:qFormat/>
    <w:uiPriority w:val="0"/>
    <w:rPr>
      <w:rFonts w:ascii="Courier New" w:hAnsi="Courier New"/>
      <w:sz w:val="20"/>
    </w:rPr>
  </w:style>
  <w:style w:type="character" w:customStyle="1" w:styleId="130">
    <w:name w:val="WW8Num24z2"/>
    <w:qFormat/>
    <w:uiPriority w:val="0"/>
    <w:rPr>
      <w:rFonts w:ascii="Wingdings" w:hAnsi="Wingdings"/>
      <w:sz w:val="20"/>
    </w:rPr>
  </w:style>
  <w:style w:type="character" w:customStyle="1" w:styleId="131">
    <w:name w:val="WW8Num25z0"/>
    <w:qFormat/>
    <w:uiPriority w:val="0"/>
    <w:rPr>
      <w:rFonts w:ascii="Arial" w:hAnsi="Arial"/>
    </w:rPr>
  </w:style>
  <w:style w:type="character" w:customStyle="1" w:styleId="132">
    <w:name w:val="WW8Num26z0"/>
    <w:qFormat/>
    <w:uiPriority w:val="0"/>
    <w:rPr>
      <w:rFonts w:ascii="Tahoma" w:hAnsi="Tahoma"/>
    </w:rPr>
  </w:style>
  <w:style w:type="character" w:customStyle="1" w:styleId="133">
    <w:name w:val="WW8Num35z0"/>
    <w:qFormat/>
    <w:uiPriority w:val="0"/>
    <w:rPr>
      <w:rFonts w:ascii="Wingdings" w:hAnsi="Wingdings"/>
    </w:rPr>
  </w:style>
  <w:style w:type="character" w:customStyle="1" w:styleId="134">
    <w:name w:val="WW8Num36z0"/>
    <w:qFormat/>
    <w:uiPriority w:val="0"/>
    <w:rPr>
      <w:rFonts w:ascii="Tahoma" w:hAnsi="Tahoma"/>
    </w:rPr>
  </w:style>
  <w:style w:type="character" w:customStyle="1" w:styleId="135">
    <w:name w:val="WW8NumSt4z0"/>
    <w:qFormat/>
    <w:uiPriority w:val="0"/>
    <w:rPr>
      <w:rFonts w:ascii="Symbol" w:hAnsi="Symbol"/>
    </w:rPr>
  </w:style>
  <w:style w:type="character" w:customStyle="1" w:styleId="136">
    <w:name w:val="WW8NumSt11z0"/>
    <w:qFormat/>
    <w:uiPriority w:val="0"/>
    <w:rPr>
      <w:rFonts w:ascii="Symbol" w:hAnsi="Symbol"/>
    </w:rPr>
  </w:style>
  <w:style w:type="character" w:customStyle="1" w:styleId="137">
    <w:name w:val="WW8NumSt17z0"/>
    <w:qFormat/>
    <w:uiPriority w:val="0"/>
    <w:rPr>
      <w:rFonts w:ascii="Symbol" w:hAnsi="Symbol"/>
    </w:rPr>
  </w:style>
  <w:style w:type="character" w:customStyle="1" w:styleId="138">
    <w:name w:val="WW8NumSt32z0"/>
    <w:qFormat/>
    <w:uiPriority w:val="0"/>
    <w:rPr>
      <w:rFonts w:ascii="Symbol" w:hAnsi="Symbol" w:cs="Times New Roman"/>
    </w:rPr>
  </w:style>
  <w:style w:type="character" w:customStyle="1" w:styleId="139">
    <w:name w:val="默认段落字体1"/>
    <w:qFormat/>
    <w:uiPriority w:val="0"/>
  </w:style>
  <w:style w:type="character" w:customStyle="1" w:styleId="140">
    <w:name w:val="脚注符"/>
    <w:qFormat/>
    <w:uiPriority w:val="0"/>
    <w:rPr>
      <w:position w:val="6"/>
      <w:sz w:val="16"/>
    </w:rPr>
  </w:style>
  <w:style w:type="character" w:customStyle="1" w:styleId="141">
    <w:name w:val="Chapter Title"/>
    <w:qFormat/>
    <w:uiPriority w:val="0"/>
    <w:rPr>
      <w:sz w:val="20"/>
    </w:rPr>
  </w:style>
  <w:style w:type="character" w:customStyle="1" w:styleId="142">
    <w:name w:val="Highlighted Variable"/>
    <w:qFormat/>
    <w:uiPriority w:val="0"/>
    <w:rPr>
      <w:color w:val="0000FF"/>
      <w:sz w:val="20"/>
    </w:rPr>
  </w:style>
  <w:style w:type="character" w:customStyle="1" w:styleId="143">
    <w:name w:val="Version"/>
    <w:qFormat/>
    <w:uiPriority w:val="0"/>
    <w:rPr>
      <w:sz w:val="20"/>
    </w:rPr>
  </w:style>
  <w:style w:type="character" w:customStyle="1" w:styleId="144">
    <w:name w:val="DocRef"/>
    <w:qFormat/>
    <w:uiPriority w:val="0"/>
    <w:rPr>
      <w:sz w:val="20"/>
    </w:rPr>
  </w:style>
  <w:style w:type="character" w:customStyle="1" w:styleId="145">
    <w:name w:val="FileName"/>
    <w:qFormat/>
    <w:uiPriority w:val="0"/>
    <w:rPr>
      <w:sz w:val="20"/>
    </w:rPr>
  </w:style>
  <w:style w:type="character" w:customStyle="1" w:styleId="146">
    <w:name w:val="强调1"/>
    <w:qFormat/>
    <w:uiPriority w:val="0"/>
    <w:rPr>
      <w:i/>
    </w:rPr>
  </w:style>
  <w:style w:type="character" w:customStyle="1" w:styleId="147">
    <w:name w:val="HTML 打字机1"/>
    <w:qFormat/>
    <w:uiPriority w:val="0"/>
    <w:rPr>
      <w:rFonts w:ascii="Arial Unicode MS" w:hAnsi="Arial Unicode MS" w:eastAsia="Arial Unicode MS"/>
      <w:sz w:val="20"/>
    </w:rPr>
  </w:style>
  <w:style w:type="character" w:customStyle="1" w:styleId="148">
    <w:name w:val="要点1"/>
    <w:qFormat/>
    <w:uiPriority w:val="0"/>
    <w:rPr>
      <w:b/>
    </w:rPr>
  </w:style>
  <w:style w:type="paragraph" w:customStyle="1" w:styleId="149">
    <w:name w:val="标签"/>
    <w:basedOn w:val="1"/>
    <w:qFormat/>
    <w:uiPriority w:val="0"/>
    <w:pPr>
      <w:suppressLineNumbers/>
      <w:suppressAutoHyphens/>
      <w:spacing w:before="120" w:after="120"/>
    </w:pPr>
    <w:rPr>
      <w:rFonts w:ascii="Times New Roman" w:hAnsi="Times New Roman" w:eastAsia="宋体" w:cs="Times New Roman"/>
      <w:i/>
      <w:iCs/>
      <w:kern w:val="1"/>
      <w:sz w:val="24"/>
      <w:szCs w:val="24"/>
      <w:lang w:eastAsia="ar-SA"/>
    </w:rPr>
  </w:style>
  <w:style w:type="paragraph" w:customStyle="1" w:styleId="150">
    <w:name w:val="目录"/>
    <w:basedOn w:val="1"/>
    <w:qFormat/>
    <w:uiPriority w:val="0"/>
    <w:pPr>
      <w:suppressLineNumbers/>
      <w:suppressAutoHyphens/>
    </w:pPr>
    <w:rPr>
      <w:rFonts w:ascii="Times New Roman" w:hAnsi="Times New Roman" w:eastAsia="宋体" w:cs="Times New Roman"/>
      <w:kern w:val="1"/>
      <w:szCs w:val="24"/>
      <w:lang w:eastAsia="ar-SA"/>
    </w:rPr>
  </w:style>
  <w:style w:type="paragraph" w:customStyle="1" w:styleId="151">
    <w:name w:val="Bullet"/>
    <w:basedOn w:val="13"/>
    <w:qFormat/>
    <w:uiPriority w:val="0"/>
    <w:pPr>
      <w:keepLines/>
      <w:suppressAutoHyphens/>
      <w:adjustRightInd/>
      <w:spacing w:before="60" w:after="60" w:line="240" w:lineRule="auto"/>
      <w:ind w:left="3096" w:hanging="216"/>
      <w:textAlignment w:val="auto"/>
    </w:pPr>
    <w:rPr>
      <w:kern w:val="1"/>
      <w:sz w:val="21"/>
      <w:szCs w:val="24"/>
      <w:lang w:eastAsia="ar-SA"/>
    </w:rPr>
  </w:style>
  <w:style w:type="paragraph" w:customStyle="1" w:styleId="152">
    <w:name w:val="Checklist"/>
    <w:basedOn w:val="151"/>
    <w:qFormat/>
    <w:uiPriority w:val="0"/>
    <w:pPr>
      <w:ind w:left="3427" w:hanging="547"/>
    </w:pPr>
  </w:style>
  <w:style w:type="paragraph" w:customStyle="1" w:styleId="153">
    <w:name w:val="Checklist-X"/>
    <w:basedOn w:val="152"/>
    <w:qFormat/>
    <w:uiPriority w:val="0"/>
  </w:style>
  <w:style w:type="character" w:customStyle="1" w:styleId="154">
    <w:name w:val="脚注文本 Char"/>
    <w:basedOn w:val="44"/>
    <w:link w:val="33"/>
    <w:semiHidden/>
    <w:qFormat/>
    <w:uiPriority w:val="0"/>
    <w:rPr>
      <w:rFonts w:ascii="Times New Roman" w:hAnsi="Times New Roman" w:eastAsia="宋体" w:cs="Times New Roman"/>
      <w:kern w:val="1"/>
      <w:szCs w:val="24"/>
      <w:lang w:eastAsia="ar-SA"/>
    </w:rPr>
  </w:style>
  <w:style w:type="character" w:customStyle="1" w:styleId="155">
    <w:name w:val="标题 Char"/>
    <w:basedOn w:val="44"/>
    <w:link w:val="41"/>
    <w:qFormat/>
    <w:uiPriority w:val="0"/>
    <w:rPr>
      <w:rFonts w:ascii="Book Antiqua" w:hAnsi="Book Antiqua" w:eastAsia="宋体" w:cs="Times New Roman"/>
      <w:kern w:val="1"/>
      <w:sz w:val="48"/>
      <w:szCs w:val="24"/>
      <w:lang w:eastAsia="ar-SA"/>
    </w:rPr>
  </w:style>
  <w:style w:type="character" w:customStyle="1" w:styleId="156">
    <w:name w:val="副标题 Char"/>
    <w:basedOn w:val="44"/>
    <w:link w:val="30"/>
    <w:qFormat/>
    <w:uiPriority w:val="0"/>
    <w:rPr>
      <w:rFonts w:ascii="文鼎PL细上海宋Uni" w:hAnsi="文鼎PL细上海宋Uni" w:eastAsia="文鼎PL细上海宋Uni" w:cs="文鼎PL细上海宋Uni"/>
      <w:i/>
      <w:iCs/>
      <w:kern w:val="1"/>
      <w:sz w:val="28"/>
      <w:szCs w:val="28"/>
      <w:lang w:eastAsia="ar-SA"/>
    </w:rPr>
  </w:style>
  <w:style w:type="paragraph" w:customStyle="1" w:styleId="157">
    <w:name w:val="tty80"/>
    <w:basedOn w:val="1"/>
    <w:qFormat/>
    <w:uiPriority w:val="0"/>
    <w:pPr>
      <w:suppressAutoHyphens/>
    </w:pPr>
    <w:rPr>
      <w:rFonts w:ascii="Courier New" w:hAnsi="Courier New" w:eastAsia="宋体" w:cs="Times New Roman"/>
      <w:kern w:val="1"/>
      <w:szCs w:val="24"/>
      <w:lang w:eastAsia="ar-SA"/>
    </w:rPr>
  </w:style>
  <w:style w:type="paragraph" w:customStyle="1" w:styleId="158">
    <w:name w:val="tty132"/>
    <w:basedOn w:val="157"/>
    <w:qFormat/>
    <w:uiPriority w:val="0"/>
    <w:rPr>
      <w:sz w:val="12"/>
    </w:rPr>
  </w:style>
  <w:style w:type="paragraph" w:customStyle="1" w:styleId="159">
    <w:name w:val="hanging indent"/>
    <w:basedOn w:val="13"/>
    <w:qFormat/>
    <w:uiPriority w:val="0"/>
    <w:pPr>
      <w:keepLines/>
      <w:suppressAutoHyphens/>
      <w:adjustRightInd/>
      <w:spacing w:line="240" w:lineRule="auto"/>
      <w:ind w:left="5400" w:hanging="2880"/>
      <w:textAlignment w:val="auto"/>
    </w:pPr>
    <w:rPr>
      <w:kern w:val="1"/>
      <w:sz w:val="21"/>
      <w:szCs w:val="24"/>
      <w:lang w:eastAsia="ar-SA"/>
    </w:rPr>
  </w:style>
  <w:style w:type="paragraph" w:customStyle="1" w:styleId="160">
    <w:name w:val="Table Text"/>
    <w:basedOn w:val="1"/>
    <w:qFormat/>
    <w:uiPriority w:val="0"/>
    <w:pPr>
      <w:keepLines/>
      <w:suppressAutoHyphens/>
    </w:pPr>
    <w:rPr>
      <w:rFonts w:ascii="Times New Roman" w:hAnsi="Times New Roman" w:eastAsia="宋体" w:cs="Times New Roman"/>
      <w:kern w:val="1"/>
      <w:sz w:val="16"/>
      <w:szCs w:val="24"/>
      <w:lang w:eastAsia="ar-SA"/>
    </w:rPr>
  </w:style>
  <w:style w:type="paragraph" w:customStyle="1" w:styleId="161">
    <w:name w:val="Number List"/>
    <w:basedOn w:val="13"/>
    <w:qFormat/>
    <w:uiPriority w:val="0"/>
    <w:pPr>
      <w:suppressAutoHyphens/>
      <w:adjustRightInd/>
      <w:spacing w:before="60" w:after="60" w:line="240" w:lineRule="auto"/>
      <w:ind w:left="3240" w:hanging="360"/>
      <w:textAlignment w:val="auto"/>
    </w:pPr>
    <w:rPr>
      <w:kern w:val="1"/>
      <w:sz w:val="21"/>
      <w:szCs w:val="24"/>
      <w:lang w:eastAsia="ar-SA"/>
    </w:rPr>
  </w:style>
  <w:style w:type="paragraph" w:customStyle="1" w:styleId="162">
    <w:name w:val="Heading Bar"/>
    <w:basedOn w:val="1"/>
    <w:next w:val="5"/>
    <w:qFormat/>
    <w:uiPriority w:val="0"/>
    <w:pPr>
      <w:keepNext/>
      <w:keepLines/>
      <w:shd w:val="clear" w:color="auto" w:fill="000000"/>
      <w:suppressAutoHyphens/>
      <w:spacing w:before="240"/>
      <w:ind w:right="7589"/>
    </w:pPr>
    <w:rPr>
      <w:rFonts w:ascii="Times New Roman" w:hAnsi="Times New Roman" w:eastAsia="宋体" w:cs="Times New Roman"/>
      <w:color w:val="FFFFFF"/>
      <w:kern w:val="1"/>
      <w:sz w:val="8"/>
      <w:szCs w:val="24"/>
      <w:lang w:eastAsia="ar-SA"/>
    </w:rPr>
  </w:style>
  <w:style w:type="paragraph" w:customStyle="1" w:styleId="163">
    <w:name w:val="Info Box"/>
    <w:basedOn w:val="13"/>
    <w:qFormat/>
    <w:uiPriority w:val="0"/>
    <w:pPr>
      <w:keepLines/>
      <w:pBdr>
        <w:top w:val="single" w:color="000000" w:sz="4" w:space="6"/>
        <w:left w:val="single" w:color="000000" w:sz="4" w:space="6"/>
        <w:bottom w:val="single" w:color="000000" w:sz="4" w:space="6"/>
        <w:right w:val="single" w:color="000000" w:sz="4" w:space="6"/>
      </w:pBdr>
      <w:suppressAutoHyphens/>
      <w:adjustRightInd/>
      <w:spacing w:line="240" w:lineRule="auto"/>
      <w:ind w:left="3600" w:right="1080"/>
      <w:jc w:val="center"/>
      <w:textAlignment w:val="auto"/>
    </w:pPr>
    <w:rPr>
      <w:kern w:val="1"/>
      <w:sz w:val="18"/>
      <w:szCs w:val="24"/>
      <w:lang w:eastAsia="ar-SA"/>
    </w:rPr>
  </w:style>
  <w:style w:type="paragraph" w:customStyle="1" w:styleId="164">
    <w:name w:val="tty180"/>
    <w:basedOn w:val="157"/>
    <w:qFormat/>
    <w:uiPriority w:val="0"/>
    <w:pPr>
      <w:ind w:right="-720"/>
    </w:pPr>
    <w:rPr>
      <w:sz w:val="8"/>
    </w:rPr>
  </w:style>
  <w:style w:type="paragraph" w:customStyle="1" w:styleId="165">
    <w:name w:val="Title Bar"/>
    <w:basedOn w:val="1"/>
    <w:uiPriority w:val="0"/>
    <w:pPr>
      <w:keepNext/>
      <w:pageBreakBefore/>
      <w:shd w:val="clear" w:color="auto" w:fill="000000"/>
      <w:suppressAutoHyphens/>
      <w:spacing w:before="1680"/>
      <w:ind w:left="2520" w:right="720"/>
    </w:pPr>
    <w:rPr>
      <w:rFonts w:ascii="Times New Roman" w:hAnsi="Times New Roman" w:eastAsia="宋体" w:cs="Times New Roman"/>
      <w:kern w:val="1"/>
      <w:sz w:val="36"/>
      <w:szCs w:val="24"/>
      <w:lang w:eastAsia="ar-SA"/>
    </w:rPr>
  </w:style>
  <w:style w:type="paragraph" w:customStyle="1" w:styleId="166">
    <w:name w:val="tty80 indent"/>
    <w:basedOn w:val="157"/>
    <w:qFormat/>
    <w:uiPriority w:val="0"/>
    <w:pPr>
      <w:ind w:left="2895"/>
    </w:pPr>
  </w:style>
  <w:style w:type="paragraph" w:customStyle="1" w:styleId="167">
    <w:name w:val="TOC 标题1"/>
    <w:basedOn w:val="1"/>
    <w:qFormat/>
    <w:uiPriority w:val="0"/>
    <w:pPr>
      <w:keepNext/>
      <w:pageBreakBefore/>
      <w:pBdr>
        <w:top w:val="single" w:color="000000" w:sz="20" w:space="26"/>
      </w:pBdr>
      <w:suppressAutoHyphens/>
      <w:spacing w:before="960" w:after="960"/>
      <w:ind w:left="2520"/>
    </w:pPr>
    <w:rPr>
      <w:rFonts w:ascii="Times New Roman" w:hAnsi="Times New Roman" w:eastAsia="宋体" w:cs="Times New Roman"/>
      <w:kern w:val="1"/>
      <w:sz w:val="36"/>
      <w:szCs w:val="24"/>
      <w:lang w:eastAsia="ar-SA"/>
    </w:rPr>
  </w:style>
  <w:style w:type="paragraph" w:customStyle="1" w:styleId="168">
    <w:name w:val="Legal"/>
    <w:basedOn w:val="1"/>
    <w:qFormat/>
    <w:uiPriority w:val="0"/>
    <w:pPr>
      <w:suppressAutoHyphens/>
      <w:spacing w:after="240"/>
      <w:ind w:left="2160"/>
    </w:pPr>
    <w:rPr>
      <w:rFonts w:ascii="Times" w:hAnsi="Times" w:eastAsia="宋体" w:cs="Times New Roman"/>
      <w:kern w:val="1"/>
      <w:szCs w:val="24"/>
      <w:lang w:eastAsia="ar-SA"/>
    </w:rPr>
  </w:style>
  <w:style w:type="paragraph" w:customStyle="1" w:styleId="169">
    <w:name w:val="Note"/>
    <w:basedOn w:val="13"/>
    <w:uiPriority w:val="0"/>
    <w:pPr>
      <w:pBdr>
        <w:top w:val="single" w:color="000000" w:sz="4" w:space="1"/>
        <w:left w:val="single" w:color="000000" w:sz="4" w:space="1"/>
        <w:bottom w:val="single" w:color="000000" w:sz="4" w:space="1"/>
        <w:right w:val="single" w:color="000000" w:sz="4" w:space="1"/>
      </w:pBdr>
      <w:shd w:val="clear" w:color="auto" w:fill="FFFF00"/>
      <w:suppressAutoHyphens/>
      <w:adjustRightInd/>
      <w:spacing w:line="240" w:lineRule="auto"/>
      <w:ind w:left="720" w:right="5040" w:hanging="720"/>
      <w:textAlignment w:val="auto"/>
    </w:pPr>
    <w:rPr>
      <w:vanish/>
      <w:kern w:val="1"/>
      <w:sz w:val="21"/>
      <w:szCs w:val="24"/>
      <w:lang w:eastAsia="ar-SA"/>
    </w:rPr>
  </w:style>
  <w:style w:type="paragraph" w:customStyle="1" w:styleId="170">
    <w:name w:val="Table Heading"/>
    <w:basedOn w:val="160"/>
    <w:qFormat/>
    <w:uiPriority w:val="0"/>
    <w:pPr>
      <w:spacing w:before="120" w:after="120"/>
    </w:pPr>
    <w:rPr>
      <w:b/>
    </w:rPr>
  </w:style>
  <w:style w:type="paragraph" w:customStyle="1" w:styleId="171">
    <w:name w:val="宏文本1"/>
    <w:qFormat/>
    <w:uiPriority w:val="0"/>
    <w:pPr>
      <w:widowControl w:val="0"/>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Arial Narrow" w:hAnsi="Arial Narrow" w:eastAsia="宋体" w:cs="Times New Roman"/>
      <w:kern w:val="0"/>
      <w:sz w:val="20"/>
      <w:szCs w:val="20"/>
      <w:lang w:val="en-US" w:eastAsia="ar-SA" w:bidi="ar-SA"/>
    </w:rPr>
  </w:style>
  <w:style w:type="paragraph" w:customStyle="1" w:styleId="172">
    <w:name w:val="Title-Major"/>
    <w:basedOn w:val="41"/>
    <w:uiPriority w:val="0"/>
    <w:rPr>
      <w:smallCaps/>
    </w:rPr>
  </w:style>
  <w:style w:type="paragraph" w:customStyle="1" w:styleId="173">
    <w:name w:val="Route Title"/>
    <w:basedOn w:val="1"/>
    <w:qFormat/>
    <w:uiPriority w:val="0"/>
    <w:pPr>
      <w:keepLines/>
      <w:suppressAutoHyphens/>
      <w:spacing w:after="120"/>
      <w:ind w:left="2520" w:right="720"/>
    </w:pPr>
    <w:rPr>
      <w:rFonts w:ascii="Times New Roman" w:hAnsi="Times New Roman" w:eastAsia="宋体" w:cs="Times New Roman"/>
      <w:kern w:val="1"/>
      <w:sz w:val="36"/>
      <w:szCs w:val="24"/>
      <w:lang w:eastAsia="ar-SA"/>
    </w:rPr>
  </w:style>
  <w:style w:type="paragraph" w:customStyle="1" w:styleId="174">
    <w:name w:val="12 text"/>
    <w:basedOn w:val="1"/>
    <w:qFormat/>
    <w:uiPriority w:val="0"/>
    <w:pPr>
      <w:suppressAutoHyphens/>
      <w:spacing w:before="240" w:after="120"/>
    </w:pPr>
    <w:rPr>
      <w:rFonts w:ascii="Arial" w:hAnsi="Arial" w:eastAsia="宋体" w:cs="Times New Roman"/>
      <w:kern w:val="1"/>
      <w:szCs w:val="24"/>
      <w:lang w:eastAsia="ar-SA"/>
    </w:rPr>
  </w:style>
  <w:style w:type="paragraph" w:customStyle="1" w:styleId="175">
    <w:name w:val="Flowchart headers"/>
    <w:basedOn w:val="1"/>
    <w:qFormat/>
    <w:uiPriority w:val="0"/>
    <w:pPr>
      <w:suppressAutoHyphens/>
      <w:jc w:val="center"/>
    </w:pPr>
    <w:rPr>
      <w:rFonts w:ascii="Times New Roman" w:hAnsi="Times New Roman" w:eastAsia="宋体" w:cs="Times New Roman"/>
      <w:caps/>
      <w:color w:val="000000"/>
      <w:kern w:val="1"/>
      <w:szCs w:val="24"/>
      <w:u w:val="single"/>
      <w:lang w:eastAsia="ar-SA"/>
    </w:rPr>
  </w:style>
  <w:style w:type="paragraph" w:customStyle="1" w:styleId="176">
    <w:name w:val="Responsibilities"/>
    <w:basedOn w:val="1"/>
    <w:qFormat/>
    <w:uiPriority w:val="0"/>
    <w:pPr>
      <w:suppressAutoHyphens/>
    </w:pPr>
    <w:rPr>
      <w:rFonts w:ascii="Times New Roman" w:hAnsi="Times New Roman" w:eastAsia="宋体" w:cs="Times New Roman"/>
      <w:kern w:val="1"/>
      <w:szCs w:val="24"/>
      <w:lang w:eastAsia="ar-SA"/>
    </w:rPr>
  </w:style>
  <w:style w:type="paragraph" w:customStyle="1" w:styleId="177">
    <w:name w:val="Interfaces Both"/>
    <w:basedOn w:val="175"/>
    <w:qFormat/>
    <w:uiPriority w:val="0"/>
    <w:pPr>
      <w:ind w:left="360" w:hanging="360"/>
      <w:jc w:val="left"/>
    </w:pPr>
    <w:rPr>
      <w:caps w:val="0"/>
      <w:color w:val="0000FF"/>
      <w:u w:val="none"/>
    </w:rPr>
  </w:style>
  <w:style w:type="paragraph" w:customStyle="1" w:styleId="178">
    <w:name w:val="Outline Procedure"/>
    <w:basedOn w:val="1"/>
    <w:qFormat/>
    <w:uiPriority w:val="0"/>
    <w:pPr>
      <w:suppressAutoHyphens/>
      <w:jc w:val="center"/>
    </w:pPr>
    <w:rPr>
      <w:rFonts w:ascii="Times New Roman" w:hAnsi="Times New Roman" w:eastAsia="宋体" w:cs="Times New Roman"/>
      <w:kern w:val="1"/>
      <w:szCs w:val="24"/>
      <w:lang w:eastAsia="ar-SA"/>
    </w:rPr>
  </w:style>
  <w:style w:type="paragraph" w:customStyle="1" w:styleId="179">
    <w:name w:val="Interfaces In"/>
    <w:basedOn w:val="177"/>
    <w:qFormat/>
    <w:uiPriority w:val="0"/>
  </w:style>
  <w:style w:type="paragraph" w:customStyle="1" w:styleId="180">
    <w:name w:val="Interfaces Out"/>
    <w:basedOn w:val="177"/>
    <w:qFormat/>
    <w:uiPriority w:val="0"/>
  </w:style>
  <w:style w:type="paragraph" w:customStyle="1" w:styleId="181">
    <w:name w:val="Body Single"/>
    <w:basedOn w:val="1"/>
    <w:qFormat/>
    <w:uiPriority w:val="0"/>
    <w:pPr>
      <w:suppressAutoHyphens/>
    </w:pPr>
    <w:rPr>
      <w:rFonts w:ascii="Times New Roman" w:hAnsi="Times New Roman" w:eastAsia="宋体" w:cs="Times New Roman"/>
      <w:kern w:val="1"/>
      <w:szCs w:val="24"/>
      <w:lang w:eastAsia="ar-SA"/>
    </w:rPr>
  </w:style>
  <w:style w:type="paragraph" w:customStyle="1" w:styleId="182">
    <w:name w:val="正文文本 21"/>
    <w:basedOn w:val="1"/>
    <w:qFormat/>
    <w:uiPriority w:val="0"/>
    <w:pPr>
      <w:suppressAutoHyphens/>
      <w:ind w:left="2552" w:hanging="624"/>
    </w:pPr>
    <w:rPr>
      <w:rFonts w:ascii="Times New Roman" w:hAnsi="Times New Roman" w:eastAsia="宋体" w:cs="Times New Roman"/>
      <w:kern w:val="1"/>
      <w:szCs w:val="24"/>
      <w:lang w:eastAsia="ar-SA"/>
    </w:rPr>
  </w:style>
  <w:style w:type="paragraph" w:customStyle="1" w:styleId="183">
    <w:name w:val="Body Text 26"/>
    <w:basedOn w:val="1"/>
    <w:qFormat/>
    <w:uiPriority w:val="0"/>
    <w:pPr>
      <w:suppressAutoHyphens/>
      <w:ind w:left="2520"/>
    </w:pPr>
    <w:rPr>
      <w:rFonts w:ascii="Times New Roman" w:hAnsi="Times New Roman" w:eastAsia="宋体" w:cs="Times New Roman"/>
      <w:kern w:val="1"/>
      <w:szCs w:val="24"/>
      <w:lang w:eastAsia="ar-SA"/>
    </w:rPr>
  </w:style>
  <w:style w:type="paragraph" w:customStyle="1" w:styleId="184">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hAnsi="Arial Unicode MS" w:eastAsia="Arial Unicode MS" w:cs="Times New Roman"/>
      <w:kern w:val="1"/>
      <w:sz w:val="20"/>
      <w:szCs w:val="24"/>
      <w:lang w:eastAsia="ar-SA"/>
    </w:rPr>
  </w:style>
  <w:style w:type="paragraph" w:customStyle="1" w:styleId="185">
    <w:name w:val="Body Text 25"/>
    <w:basedOn w:val="1"/>
    <w:qFormat/>
    <w:uiPriority w:val="0"/>
    <w:pPr>
      <w:suppressAutoHyphens/>
      <w:ind w:left="2552"/>
    </w:pPr>
    <w:rPr>
      <w:rFonts w:ascii="Times New Roman" w:hAnsi="Times New Roman" w:eastAsia="宋体" w:cs="Times New Roman"/>
      <w:kern w:val="1"/>
      <w:szCs w:val="24"/>
      <w:lang w:eastAsia="ar-SA"/>
    </w:rPr>
  </w:style>
  <w:style w:type="paragraph" w:customStyle="1" w:styleId="186">
    <w:name w:val="正文文本缩进 21"/>
    <w:basedOn w:val="1"/>
    <w:qFormat/>
    <w:uiPriority w:val="0"/>
    <w:pPr>
      <w:suppressAutoHyphens/>
      <w:ind w:left="2520"/>
    </w:pPr>
    <w:rPr>
      <w:rFonts w:ascii="Times New Roman" w:hAnsi="Times New Roman" w:eastAsia="宋体" w:cs="Times New Roman"/>
      <w:kern w:val="1"/>
      <w:szCs w:val="24"/>
      <w:lang w:eastAsia="ar-SA"/>
    </w:rPr>
  </w:style>
  <w:style w:type="paragraph" w:customStyle="1" w:styleId="187">
    <w:name w:val="Body Text 24"/>
    <w:basedOn w:val="1"/>
    <w:qFormat/>
    <w:uiPriority w:val="0"/>
    <w:pPr>
      <w:suppressAutoHyphens/>
      <w:ind w:left="2520"/>
    </w:pPr>
    <w:rPr>
      <w:rFonts w:ascii="Times New Roman" w:hAnsi="Times New Roman" w:eastAsia="宋体" w:cs="Times New Roman"/>
      <w:kern w:val="1"/>
      <w:szCs w:val="24"/>
      <w:lang w:eastAsia="ar-SA"/>
    </w:rPr>
  </w:style>
  <w:style w:type="paragraph" w:customStyle="1" w:styleId="188">
    <w:name w:val="bp"/>
    <w:basedOn w:val="1"/>
    <w:qFormat/>
    <w:uiPriority w:val="0"/>
    <w:pPr>
      <w:suppressAutoHyphens/>
      <w:spacing w:before="100" w:after="100"/>
    </w:pPr>
    <w:rPr>
      <w:rFonts w:ascii="Arial Unicode MS" w:hAnsi="Arial Unicode MS" w:eastAsia="Arial Unicode MS" w:cs="Times New Roman"/>
      <w:kern w:val="1"/>
      <w:szCs w:val="24"/>
      <w:lang w:eastAsia="ar-SA"/>
    </w:rPr>
  </w:style>
  <w:style w:type="paragraph" w:customStyle="1" w:styleId="189">
    <w:name w:val="Body Text 23"/>
    <w:basedOn w:val="1"/>
    <w:qFormat/>
    <w:uiPriority w:val="0"/>
    <w:pPr>
      <w:suppressAutoHyphens/>
      <w:ind w:left="2552"/>
    </w:pPr>
    <w:rPr>
      <w:rFonts w:ascii="Times New Roman" w:hAnsi="Times New Roman" w:eastAsia="宋体" w:cs="Times New Roman"/>
      <w:color w:val="000000"/>
      <w:kern w:val="1"/>
      <w:szCs w:val="24"/>
      <w:lang w:eastAsia="ar-SA"/>
    </w:rPr>
  </w:style>
  <w:style w:type="paragraph" w:customStyle="1" w:styleId="190">
    <w:name w:val="Body Text 22"/>
    <w:basedOn w:val="1"/>
    <w:qFormat/>
    <w:uiPriority w:val="0"/>
    <w:pPr>
      <w:suppressAutoHyphens/>
      <w:ind w:left="2520"/>
    </w:pPr>
    <w:rPr>
      <w:rFonts w:ascii="Times New Roman" w:hAnsi="Times New Roman" w:eastAsia="宋体" w:cs="Times New Roman"/>
      <w:kern w:val="1"/>
      <w:szCs w:val="24"/>
      <w:lang w:eastAsia="ar-SA"/>
    </w:rPr>
  </w:style>
  <w:style w:type="paragraph" w:customStyle="1" w:styleId="191">
    <w:name w:val="Body list"/>
    <w:basedOn w:val="13"/>
    <w:qFormat/>
    <w:uiPriority w:val="0"/>
    <w:pPr>
      <w:widowControl/>
      <w:suppressAutoHyphens/>
      <w:adjustRightInd/>
      <w:spacing w:after="0" w:line="240" w:lineRule="auto"/>
      <w:ind w:left="4111" w:hanging="255"/>
      <w:jc w:val="left"/>
      <w:textAlignment w:val="auto"/>
    </w:pPr>
    <w:rPr>
      <w:kern w:val="1"/>
      <w:sz w:val="24"/>
      <w:szCs w:val="24"/>
      <w:lang w:val="en-GB" w:eastAsia="ar-SA"/>
    </w:rPr>
  </w:style>
  <w:style w:type="paragraph" w:customStyle="1" w:styleId="192">
    <w:name w:val="Body Text 21"/>
    <w:basedOn w:val="1"/>
    <w:qFormat/>
    <w:uiPriority w:val="0"/>
    <w:pPr>
      <w:suppressAutoHyphens/>
      <w:ind w:left="1930"/>
    </w:pPr>
    <w:rPr>
      <w:rFonts w:ascii="Times New Roman" w:hAnsi="Times New Roman" w:eastAsia="宋体" w:cs="Times New Roman"/>
      <w:kern w:val="1"/>
      <w:sz w:val="22"/>
      <w:szCs w:val="24"/>
      <w:lang w:eastAsia="ar-SA"/>
    </w:rPr>
  </w:style>
  <w:style w:type="paragraph" w:customStyle="1" w:styleId="193">
    <w:name w:val="纯文本1"/>
    <w:basedOn w:val="1"/>
    <w:qFormat/>
    <w:uiPriority w:val="0"/>
    <w:pPr>
      <w:suppressAutoHyphens/>
    </w:pPr>
    <w:rPr>
      <w:rFonts w:ascii="Courier New" w:hAnsi="Courier New" w:eastAsia="宋体" w:cs="Courier New"/>
      <w:kern w:val="1"/>
      <w:sz w:val="20"/>
      <w:szCs w:val="20"/>
      <w:lang w:eastAsia="ar-SA"/>
    </w:rPr>
  </w:style>
  <w:style w:type="paragraph" w:customStyle="1" w:styleId="194">
    <w:name w:val="正文文本 211"/>
    <w:basedOn w:val="1"/>
    <w:uiPriority w:val="0"/>
    <w:pPr>
      <w:suppressAutoHyphens/>
    </w:pPr>
    <w:rPr>
      <w:rFonts w:ascii="Verdana" w:hAnsi="Verdana" w:eastAsia="宋体" w:cs="Times New Roman"/>
      <w:kern w:val="1"/>
      <w:sz w:val="18"/>
      <w:szCs w:val="24"/>
      <w:lang w:eastAsia="ar-SA"/>
    </w:rPr>
  </w:style>
  <w:style w:type="paragraph" w:customStyle="1" w:styleId="195">
    <w:name w:val="正文文本 31"/>
    <w:basedOn w:val="1"/>
    <w:uiPriority w:val="0"/>
    <w:pPr>
      <w:suppressAutoHyphens/>
    </w:pPr>
    <w:rPr>
      <w:rFonts w:ascii="Verdana" w:hAnsi="Verdana" w:eastAsia="宋体" w:cs="Times New Roman"/>
      <w:b/>
      <w:bCs/>
      <w:kern w:val="1"/>
      <w:sz w:val="15"/>
      <w:szCs w:val="24"/>
      <w:lang w:eastAsia="ar-SA"/>
    </w:rPr>
  </w:style>
  <w:style w:type="character" w:customStyle="1" w:styleId="196">
    <w:name w:val="HTML 预设格式 Char"/>
    <w:basedOn w:val="44"/>
    <w:link w:val="39"/>
    <w:qFormat/>
    <w:uiPriority w:val="0"/>
    <w:rPr>
      <w:rFonts w:ascii="Arial Unicode MS" w:hAnsi="Arial Unicode MS" w:eastAsia="Arial Unicode MS" w:cs="Arial Unicode MS"/>
      <w:kern w:val="1"/>
      <w:sz w:val="20"/>
      <w:szCs w:val="20"/>
      <w:lang w:eastAsia="ar-SA"/>
    </w:rPr>
  </w:style>
  <w:style w:type="paragraph" w:customStyle="1" w:styleId="197">
    <w:name w:val="文档结构图1"/>
    <w:basedOn w:val="1"/>
    <w:qFormat/>
    <w:uiPriority w:val="0"/>
    <w:pPr>
      <w:shd w:val="clear" w:color="auto" w:fill="000080"/>
      <w:suppressAutoHyphens/>
    </w:pPr>
    <w:rPr>
      <w:rFonts w:ascii="Times New Roman" w:hAnsi="Times New Roman" w:eastAsia="宋体" w:cs="Times New Roman"/>
      <w:kern w:val="1"/>
      <w:szCs w:val="24"/>
      <w:lang w:eastAsia="ar-SA"/>
    </w:rPr>
  </w:style>
  <w:style w:type="paragraph" w:customStyle="1" w:styleId="198">
    <w:name w:val="框内容"/>
    <w:basedOn w:val="13"/>
    <w:qFormat/>
    <w:uiPriority w:val="0"/>
    <w:pPr>
      <w:suppressAutoHyphens/>
      <w:adjustRightInd/>
      <w:spacing w:line="240" w:lineRule="auto"/>
      <w:textAlignment w:val="auto"/>
    </w:pPr>
    <w:rPr>
      <w:kern w:val="1"/>
      <w:sz w:val="21"/>
      <w:szCs w:val="24"/>
      <w:lang w:eastAsia="ar-SA"/>
    </w:rPr>
  </w:style>
  <w:style w:type="paragraph" w:customStyle="1" w:styleId="199">
    <w:name w:val="表格内容"/>
    <w:basedOn w:val="1"/>
    <w:qFormat/>
    <w:uiPriority w:val="0"/>
    <w:pPr>
      <w:suppressLineNumbers/>
      <w:suppressAutoHyphens/>
    </w:pPr>
    <w:rPr>
      <w:rFonts w:ascii="Times New Roman" w:hAnsi="Times New Roman" w:eastAsia="宋体" w:cs="Times New Roman"/>
      <w:kern w:val="1"/>
      <w:szCs w:val="24"/>
      <w:lang w:eastAsia="ar-SA"/>
    </w:rPr>
  </w:style>
  <w:style w:type="paragraph" w:customStyle="1" w:styleId="200">
    <w:name w:val="表格标题"/>
    <w:basedOn w:val="199"/>
    <w:qFormat/>
    <w:uiPriority w:val="0"/>
    <w:pPr>
      <w:jc w:val="center"/>
    </w:pPr>
    <w:rPr>
      <w:b/>
      <w:bCs/>
    </w:rPr>
  </w:style>
  <w:style w:type="paragraph" w:customStyle="1" w:styleId="201">
    <w:name w:val="内容目录 10"/>
    <w:basedOn w:val="150"/>
    <w:qFormat/>
    <w:uiPriority w:val="0"/>
    <w:pPr>
      <w:tabs>
        <w:tab w:val="right" w:leader="dot" w:pos="9637"/>
      </w:tabs>
      <w:ind w:left="2547"/>
    </w:pPr>
  </w:style>
  <w:style w:type="character" w:customStyle="1" w:styleId="202">
    <w:name w:val="keyword2"/>
    <w:qFormat/>
    <w:uiPriority w:val="0"/>
  </w:style>
  <w:style w:type="character" w:customStyle="1" w:styleId="203">
    <w:name w:val="op2"/>
    <w:qFormat/>
    <w:uiPriority w:val="0"/>
    <w:rPr>
      <w:color w:val="808080"/>
    </w:rPr>
  </w:style>
  <w:style w:type="character" w:customStyle="1" w:styleId="204">
    <w:name w:val="string2"/>
    <w:qFormat/>
    <w:uiPriority w:val="0"/>
  </w:style>
  <w:style w:type="paragraph" w:customStyle="1" w:styleId="205">
    <w:name w:val="_Style 7"/>
    <w:basedOn w:val="1"/>
    <w:qFormat/>
    <w:uiPriority w:val="0"/>
    <w:rPr>
      <w:rFonts w:ascii="仿宋_GB2312" w:hAnsi="Times New Roman" w:eastAsia="仿宋_GB2312" w:cs="Times New Roman"/>
      <w:b/>
      <w:sz w:val="32"/>
      <w:szCs w:val="32"/>
    </w:rPr>
  </w:style>
  <w:style w:type="paragraph" w:customStyle="1" w:styleId="206">
    <w:name w:val="列出段落1"/>
    <w:basedOn w:val="1"/>
    <w:qFormat/>
    <w:uiPriority w:val="0"/>
    <w:pPr>
      <w:ind w:firstLine="420" w:firstLineChars="200"/>
    </w:pPr>
    <w:rPr>
      <w:rFonts w:ascii="Calibri" w:hAnsi="Calibri" w:eastAsia="宋体" w:cs="宋体"/>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D6884-70F0-40DA-A5B3-6378B58AD893}">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9221</Words>
  <Characters>9764</Characters>
  <Lines>18</Lines>
  <Paragraphs>5</Paragraphs>
  <TotalTime>164</TotalTime>
  <ScaleCrop>false</ScaleCrop>
  <LinksUpToDate>false</LinksUpToDate>
  <CharactersWithSpaces>9970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2014-11-21T03:03:00Z</dcterms:created>
  <dc:creator>Yufan CHEN</dc:creator>
  <cp:lastModifiedBy>雨兮欲兮</cp:lastModifiedBy>
  <cp:lastPrinted>2014-08-23T16:58:00Z</cp:lastPrinted>
  <dcterms:modified xsi:type="dcterms:W3CDTF">2022-08-12T06:41:02Z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20F7A726D34849C5B69FEF30C717BDB9</vt:lpwstr>
  </property>
</Properties>
</file>