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sz w:val="52"/>
          <w:szCs w:val="52"/>
        </w:rPr>
      </w:pPr>
    </w:p>
    <w:p>
      <w:pPr>
        <w:spacing w:line="360" w:lineRule="auto"/>
        <w:jc w:val="center"/>
        <w:rPr>
          <w:rFonts w:asciiTheme="minorEastAsia" w:hAnsiTheme="minorEastAsia"/>
          <w:sz w:val="52"/>
          <w:szCs w:val="52"/>
        </w:rPr>
      </w:pPr>
    </w:p>
    <w:p>
      <w:pPr>
        <w:spacing w:line="360" w:lineRule="auto"/>
        <w:jc w:val="center"/>
        <w:rPr>
          <w:rFonts w:asciiTheme="minorEastAsia" w:hAnsiTheme="minorEastAsia"/>
          <w:b/>
          <w:sz w:val="52"/>
          <w:szCs w:val="52"/>
        </w:rPr>
      </w:pPr>
      <w:r>
        <w:rPr>
          <w:rFonts w:hint="eastAsia" w:asciiTheme="minorEastAsia" w:hAnsiTheme="minorEastAsia"/>
          <w:b/>
          <w:sz w:val="52"/>
          <w:szCs w:val="52"/>
        </w:rPr>
        <w:t>多媒体分诊叫号显示系统升级项目</w:t>
      </w:r>
    </w:p>
    <w:p>
      <w:pPr>
        <w:spacing w:line="360" w:lineRule="auto"/>
        <w:jc w:val="center"/>
        <w:rPr>
          <w:rFonts w:eastAsia="宋体" w:asciiTheme="minorEastAsia" w:hAnsiTheme="minorEastAsia"/>
          <w:b/>
          <w:sz w:val="21"/>
        </w:rPr>
      </w:pPr>
      <w:r>
        <w:rPr>
          <w:rFonts w:hint="eastAsia" w:asciiTheme="minorEastAsia" w:hAnsiTheme="minorEastAsia"/>
          <w:b/>
          <w:sz w:val="52"/>
          <w:szCs w:val="52"/>
        </w:rPr>
        <w:t>技术参数文件</w:t>
      </w: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rPr>
          <w:rFonts w:eastAsia="宋体" w:asciiTheme="minorEastAsia" w:hAnsiTheme="minorEastAsia"/>
          <w:sz w:val="21"/>
        </w:rPr>
      </w:pPr>
    </w:p>
    <w:p>
      <w:pPr>
        <w:spacing w:line="360" w:lineRule="auto"/>
        <w:jc w:val="center"/>
        <w:rPr>
          <w:rFonts w:asciiTheme="minorEastAsia" w:hAnsiTheme="minorEastAsia"/>
          <w:b/>
          <w:sz w:val="30"/>
          <w:szCs w:val="30"/>
        </w:rPr>
      </w:pPr>
      <w:r>
        <w:rPr>
          <w:rFonts w:hint="eastAsia" w:asciiTheme="minorEastAsia" w:hAnsiTheme="minorEastAsia"/>
          <w:b/>
          <w:sz w:val="30"/>
          <w:szCs w:val="30"/>
        </w:rPr>
        <w:t>汉川</w:t>
      </w:r>
      <w:r>
        <w:rPr>
          <w:rFonts w:asciiTheme="minorEastAsia" w:hAnsiTheme="minorEastAsia"/>
          <w:b/>
          <w:sz w:val="30"/>
          <w:szCs w:val="30"/>
        </w:rPr>
        <w:t>市人民医院信息科</w:t>
      </w:r>
    </w:p>
    <w:p>
      <w:pPr>
        <w:spacing w:line="360" w:lineRule="auto"/>
        <w:jc w:val="center"/>
        <w:rPr>
          <w:rFonts w:asciiTheme="minorEastAsia" w:hAnsiTheme="minorEastAsia"/>
          <w:b/>
          <w:sz w:val="30"/>
          <w:szCs w:val="30"/>
        </w:rPr>
      </w:pPr>
      <w:r>
        <w:rPr>
          <w:rFonts w:hint="eastAsia" w:asciiTheme="minorEastAsia" w:hAnsiTheme="minorEastAsia"/>
          <w:b/>
          <w:sz w:val="30"/>
          <w:szCs w:val="30"/>
        </w:rPr>
        <w:t>20</w:t>
      </w:r>
      <w:r>
        <w:rPr>
          <w:rFonts w:asciiTheme="minorEastAsia" w:hAnsiTheme="minorEastAsia"/>
          <w:b/>
          <w:sz w:val="30"/>
          <w:szCs w:val="30"/>
        </w:rPr>
        <w:t>20</w:t>
      </w:r>
      <w:r>
        <w:rPr>
          <w:rFonts w:hint="eastAsia" w:asciiTheme="minorEastAsia" w:hAnsiTheme="minorEastAsia"/>
          <w:b/>
          <w:sz w:val="30"/>
          <w:szCs w:val="30"/>
        </w:rPr>
        <w:t>年</w:t>
      </w:r>
      <w:r>
        <w:rPr>
          <w:rFonts w:asciiTheme="minorEastAsia" w:hAnsiTheme="minorEastAsia"/>
          <w:b/>
          <w:sz w:val="30"/>
          <w:szCs w:val="30"/>
        </w:rPr>
        <w:t>10</w:t>
      </w:r>
      <w:r>
        <w:rPr>
          <w:rFonts w:hint="eastAsia" w:asciiTheme="minorEastAsia" w:hAnsiTheme="minorEastAsia"/>
          <w:b/>
          <w:sz w:val="30"/>
          <w:szCs w:val="30"/>
        </w:rPr>
        <w:t>月</w:t>
      </w:r>
    </w:p>
    <w:sdt>
      <w:sdtPr>
        <w:rPr>
          <w:rFonts w:asciiTheme="minorEastAsia" w:hAnsiTheme="minorEastAsia" w:eastAsiaTheme="minorEastAsia" w:cstheme="minorBidi"/>
          <w:b w:val="0"/>
          <w:bCs w:val="0"/>
          <w:color w:val="auto"/>
          <w:kern w:val="2"/>
          <w:sz w:val="24"/>
          <w:szCs w:val="22"/>
          <w:lang w:val="zh-CN"/>
        </w:rPr>
        <w:id w:val="-2065785713"/>
      </w:sdtPr>
      <w:sdtEndPr>
        <w:rPr>
          <w:rFonts w:asciiTheme="minorEastAsia" w:hAnsiTheme="minorEastAsia" w:eastAsiaTheme="minorEastAsia" w:cstheme="minorBidi"/>
          <w:b w:val="0"/>
          <w:bCs w:val="0"/>
          <w:color w:val="auto"/>
          <w:kern w:val="2"/>
          <w:sz w:val="21"/>
          <w:szCs w:val="21"/>
          <w:lang w:val="zh-CN"/>
        </w:rPr>
      </w:sdtEndPr>
      <w:sdtContent>
        <w:p>
          <w:pPr>
            <w:pStyle w:val="26"/>
            <w:pageBreakBefore/>
            <w:jc w:val="center"/>
            <w:rPr>
              <w:rFonts w:asciiTheme="minorEastAsia" w:hAnsiTheme="minorEastAsia" w:eastAsiaTheme="minorEastAsia"/>
            </w:rPr>
          </w:pPr>
          <w:r>
            <w:rPr>
              <w:rFonts w:asciiTheme="minorEastAsia" w:hAnsiTheme="minorEastAsia" w:eastAsiaTheme="minorEastAsia"/>
              <w:lang w:val="zh-CN"/>
            </w:rPr>
            <w:t>目录</w:t>
          </w:r>
        </w:p>
        <w:p>
          <w:pPr>
            <w:pStyle w:val="18"/>
            <w:tabs>
              <w:tab w:val="left" w:pos="1050"/>
            </w:tabs>
            <w:rPr>
              <w:sz w:val="21"/>
            </w:rPr>
          </w:pPr>
          <w:r>
            <w:rPr>
              <w:rFonts w:asciiTheme="minorEastAsia" w:hAnsiTheme="minorEastAsia"/>
              <w:sz w:val="21"/>
              <w:szCs w:val="21"/>
              <w:u w:val="single"/>
            </w:rPr>
            <w:fldChar w:fldCharType="begin"/>
          </w:r>
          <w:r>
            <w:rPr>
              <w:rFonts w:asciiTheme="minorEastAsia" w:hAnsiTheme="minorEastAsia"/>
              <w:sz w:val="21"/>
              <w:szCs w:val="21"/>
              <w:u w:val="single"/>
            </w:rPr>
            <w:instrText xml:space="preserve"> TOC \o "1-3" \h \z \u </w:instrText>
          </w:r>
          <w:r>
            <w:rPr>
              <w:rFonts w:asciiTheme="minorEastAsia" w:hAnsiTheme="minorEastAsia"/>
              <w:sz w:val="21"/>
              <w:szCs w:val="21"/>
              <w:u w:val="single"/>
            </w:rPr>
            <w:fldChar w:fldCharType="separate"/>
          </w:r>
          <w:r>
            <w:fldChar w:fldCharType="begin"/>
          </w:r>
          <w:r>
            <w:instrText xml:space="preserve"> HYPERLINK \l "_Toc53656653" </w:instrText>
          </w:r>
          <w:r>
            <w:fldChar w:fldCharType="separate"/>
          </w:r>
          <w:r>
            <w:rPr>
              <w:rStyle w:val="24"/>
              <w:rFonts w:asciiTheme="majorEastAsia" w:hAnsiTheme="majorEastAsia"/>
            </w:rPr>
            <w:t>1</w:t>
          </w:r>
          <w:r>
            <w:rPr>
              <w:sz w:val="21"/>
            </w:rPr>
            <w:tab/>
          </w:r>
          <w:r>
            <w:rPr>
              <w:rStyle w:val="24"/>
            </w:rPr>
            <w:t>项目概述</w:t>
          </w:r>
          <w:r>
            <w:tab/>
          </w:r>
          <w:r>
            <w:fldChar w:fldCharType="begin"/>
          </w:r>
          <w:r>
            <w:instrText xml:space="preserve"> PAGEREF _Toc53656653 \h </w:instrText>
          </w:r>
          <w:r>
            <w:fldChar w:fldCharType="separate"/>
          </w:r>
          <w:r>
            <w:t>1</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"_Toc53656654" </w:instrText>
          </w:r>
          <w:r>
            <w:fldChar w:fldCharType="separate"/>
          </w:r>
          <w:r>
            <w:rPr>
              <w:rStyle w:val="24"/>
            </w:rPr>
            <w:t>1.1</w:t>
          </w:r>
          <w:r>
            <w:rPr>
              <w:sz w:val="21"/>
            </w:rPr>
            <w:tab/>
          </w:r>
          <w:r>
            <w:rPr>
              <w:rStyle w:val="24"/>
            </w:rPr>
            <w:t>医院简介</w:t>
          </w:r>
          <w:r>
            <w:tab/>
          </w:r>
          <w:r>
            <w:fldChar w:fldCharType="begin"/>
          </w:r>
          <w:r>
            <w:instrText xml:space="preserve"> PAGEREF _Toc53656654 \h </w:instrText>
          </w:r>
          <w:r>
            <w:fldChar w:fldCharType="separate"/>
          </w:r>
          <w:r>
            <w:t>1</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"_Toc53656655" </w:instrText>
          </w:r>
          <w:r>
            <w:fldChar w:fldCharType="separate"/>
          </w:r>
          <w:r>
            <w:rPr>
              <w:rStyle w:val="24"/>
            </w:rPr>
            <w:t>1.2</w:t>
          </w:r>
          <w:r>
            <w:rPr>
              <w:sz w:val="21"/>
            </w:rPr>
            <w:tab/>
          </w:r>
          <w:r>
            <w:rPr>
              <w:rStyle w:val="24"/>
            </w:rPr>
            <w:t>建设需求</w:t>
          </w:r>
          <w:r>
            <w:tab/>
          </w:r>
          <w:r>
            <w:fldChar w:fldCharType="begin"/>
          </w:r>
          <w:r>
            <w:instrText xml:space="preserve"> PAGEREF _Toc53656655 \h </w:instrText>
          </w:r>
          <w:r>
            <w:fldChar w:fldCharType="separate"/>
          </w:r>
          <w:r>
            <w:t>1</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"_Toc53656656" </w:instrText>
          </w:r>
          <w:r>
            <w:fldChar w:fldCharType="separate"/>
          </w:r>
          <w:r>
            <w:rPr>
              <w:rStyle w:val="24"/>
            </w:rPr>
            <w:t>1.3</w:t>
          </w:r>
          <w:r>
            <w:rPr>
              <w:sz w:val="21"/>
            </w:rPr>
            <w:tab/>
          </w:r>
          <w:r>
            <w:rPr>
              <w:rStyle w:val="24"/>
            </w:rPr>
            <w:t>建设原则</w:t>
          </w:r>
          <w:r>
            <w:tab/>
          </w:r>
          <w:r>
            <w:fldChar w:fldCharType="begin"/>
          </w:r>
          <w:r>
            <w:instrText xml:space="preserve"> PAGEREF _Toc53656656 \h </w:instrText>
          </w:r>
          <w:r>
            <w:fldChar w:fldCharType="separate"/>
          </w:r>
          <w:r>
            <w:t>1</w:t>
          </w:r>
          <w:r>
            <w:fldChar w:fldCharType="end"/>
          </w:r>
          <w:r>
            <w:fldChar w:fldCharType="end"/>
          </w:r>
        </w:p>
        <w:p>
          <w:pPr>
            <w:pStyle w:val="18"/>
            <w:tabs>
              <w:tab w:val="left" w:pos="1050"/>
            </w:tabs>
            <w:rPr>
              <w:sz w:val="21"/>
            </w:rPr>
          </w:pPr>
          <w:r>
            <w:fldChar w:fldCharType="begin"/>
          </w:r>
          <w:r>
            <w:instrText xml:space="preserve"> HYPERLINK \l "_Toc53656657" </w:instrText>
          </w:r>
          <w:r>
            <w:fldChar w:fldCharType="separate"/>
          </w:r>
          <w:r>
            <w:rPr>
              <w:rStyle w:val="24"/>
              <w:rFonts w:asciiTheme="majorEastAsia" w:hAnsiTheme="majorEastAsia"/>
            </w:rPr>
            <w:t>2</w:t>
          </w:r>
          <w:r>
            <w:rPr>
              <w:sz w:val="21"/>
            </w:rPr>
            <w:tab/>
          </w:r>
          <w:r>
            <w:rPr>
              <w:rStyle w:val="24"/>
            </w:rPr>
            <w:t>项目建设要求</w:t>
          </w:r>
          <w:r>
            <w:tab/>
          </w:r>
          <w:r>
            <w:fldChar w:fldCharType="begin"/>
          </w:r>
          <w:r>
            <w:instrText xml:space="preserve"> PAGEREF _Toc53656657 \h </w:instrText>
          </w:r>
          <w:r>
            <w:fldChar w:fldCharType="separate"/>
          </w:r>
          <w:r>
            <w:t>3</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"_Toc53656658" </w:instrText>
          </w:r>
          <w:r>
            <w:fldChar w:fldCharType="separate"/>
          </w:r>
          <w:r>
            <w:rPr>
              <w:rStyle w:val="24"/>
            </w:rPr>
            <w:t>2.1</w:t>
          </w:r>
          <w:r>
            <w:rPr>
              <w:sz w:val="21"/>
            </w:rPr>
            <w:tab/>
          </w:r>
          <w:r>
            <w:rPr>
              <w:rStyle w:val="24"/>
            </w:rPr>
            <w:t>总体要求</w:t>
          </w:r>
          <w:r>
            <w:tab/>
          </w:r>
          <w:r>
            <w:fldChar w:fldCharType="begin"/>
          </w:r>
          <w:r>
            <w:instrText xml:space="preserve"> PAGEREF _Toc53656658 \h </w:instrText>
          </w:r>
          <w:r>
            <w:fldChar w:fldCharType="separate"/>
          </w:r>
          <w:r>
            <w:t>3</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"_Toc53656659" </w:instrText>
          </w:r>
          <w:r>
            <w:fldChar w:fldCharType="separate"/>
          </w:r>
          <w:r>
            <w:rPr>
              <w:rStyle w:val="24"/>
            </w:rPr>
            <w:t>2.2</w:t>
          </w:r>
          <w:r>
            <w:rPr>
              <w:sz w:val="21"/>
            </w:rPr>
            <w:tab/>
          </w:r>
          <w:r>
            <w:rPr>
              <w:rStyle w:val="24"/>
            </w:rPr>
            <w:t>技术要求</w:t>
          </w:r>
          <w:r>
            <w:tab/>
          </w:r>
          <w:r>
            <w:fldChar w:fldCharType="begin"/>
          </w:r>
          <w:r>
            <w:instrText xml:space="preserve"> PAGEREF _Toc53656659 \h </w:instrText>
          </w:r>
          <w:r>
            <w:fldChar w:fldCharType="separate"/>
          </w:r>
          <w:r>
            <w:t>4</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"_Toc53656660" </w:instrText>
          </w:r>
          <w:r>
            <w:fldChar w:fldCharType="separate"/>
          </w:r>
          <w:r>
            <w:rPr>
              <w:rStyle w:val="24"/>
            </w:rPr>
            <w:t>2.3</w:t>
          </w:r>
          <w:r>
            <w:rPr>
              <w:sz w:val="21"/>
            </w:rPr>
            <w:tab/>
          </w:r>
          <w:r>
            <w:rPr>
              <w:rStyle w:val="24"/>
            </w:rPr>
            <w:t>其他要求</w:t>
          </w:r>
          <w:r>
            <w:tab/>
          </w:r>
          <w:r>
            <w:fldChar w:fldCharType="begin"/>
          </w:r>
          <w:r>
            <w:instrText xml:space="preserve"> PAGEREF _Toc53656660 \h </w:instrText>
          </w:r>
          <w:r>
            <w:fldChar w:fldCharType="separate"/>
          </w:r>
          <w:r>
            <w:t>5</w:t>
          </w:r>
          <w:r>
            <w:fldChar w:fldCharType="end"/>
          </w:r>
          <w:r>
            <w:fldChar w:fldCharType="end"/>
          </w:r>
        </w:p>
        <w:p>
          <w:pPr>
            <w:pStyle w:val="18"/>
            <w:tabs>
              <w:tab w:val="left" w:pos="1050"/>
            </w:tabs>
            <w:rPr>
              <w:sz w:val="21"/>
            </w:rPr>
          </w:pPr>
          <w:r>
            <w:fldChar w:fldCharType="begin"/>
          </w:r>
          <w:r>
            <w:instrText xml:space="preserve"> HYPERLINK \l "_Toc53656661" </w:instrText>
          </w:r>
          <w:r>
            <w:fldChar w:fldCharType="separate"/>
          </w:r>
          <w:r>
            <w:rPr>
              <w:rStyle w:val="24"/>
              <w:rFonts w:asciiTheme="majorEastAsia" w:hAnsiTheme="majorEastAsia"/>
            </w:rPr>
            <w:t>3</w:t>
          </w:r>
          <w:r>
            <w:rPr>
              <w:sz w:val="21"/>
            </w:rPr>
            <w:tab/>
          </w:r>
          <w:r>
            <w:rPr>
              <w:rStyle w:val="24"/>
              <w:rFonts w:asciiTheme="minorEastAsia" w:hAnsiTheme="minorEastAsia"/>
            </w:rPr>
            <w:t>建设内容</w:t>
          </w:r>
          <w:r>
            <w:tab/>
          </w:r>
          <w:r>
            <w:fldChar w:fldCharType="begin"/>
          </w:r>
          <w:r>
            <w:instrText xml:space="preserve"> PAGEREF _Toc53656661 \h </w:instrText>
          </w:r>
          <w:r>
            <w:fldChar w:fldCharType="separate"/>
          </w:r>
          <w:r>
            <w:t>5</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"_Toc53656662" </w:instrText>
          </w:r>
          <w:r>
            <w:fldChar w:fldCharType="separate"/>
          </w:r>
          <w:r>
            <w:rPr>
              <w:rStyle w:val="24"/>
            </w:rPr>
            <w:t>3.1</w:t>
          </w:r>
          <w:r>
            <w:rPr>
              <w:sz w:val="21"/>
            </w:rPr>
            <w:tab/>
          </w:r>
          <w:r>
            <w:rPr>
              <w:rStyle w:val="24"/>
            </w:rPr>
            <w:t>项目需求清单</w:t>
          </w:r>
          <w:r>
            <w:tab/>
          </w:r>
          <w:r>
            <w:fldChar w:fldCharType="begin"/>
          </w:r>
          <w:r>
            <w:instrText xml:space="preserve"> PAGEREF _Toc53656662 \h </w:instrText>
          </w:r>
          <w:r>
            <w:fldChar w:fldCharType="separate"/>
          </w:r>
          <w:r>
            <w:t>5</w:t>
          </w:r>
          <w:r>
            <w:fldChar w:fldCharType="end"/>
          </w:r>
          <w:r>
            <w:fldChar w:fldCharType="end"/>
          </w:r>
        </w:p>
        <w:p>
          <w:pPr>
            <w:pStyle w:val="18"/>
            <w:tabs>
              <w:tab w:val="left" w:pos="1050"/>
            </w:tabs>
            <w:rPr>
              <w:sz w:val="21"/>
            </w:rPr>
          </w:pPr>
          <w:r>
            <w:fldChar w:fldCharType="begin"/>
          </w:r>
          <w:r>
            <w:instrText xml:space="preserve"> HYPERLINK \l "_Toc53656663" </w:instrText>
          </w:r>
          <w:r>
            <w:fldChar w:fldCharType="separate"/>
          </w:r>
          <w:r>
            <w:rPr>
              <w:rStyle w:val="24"/>
              <w:rFonts w:asciiTheme="majorEastAsia" w:hAnsiTheme="majorEastAsia"/>
            </w:rPr>
            <w:t>4</w:t>
          </w:r>
          <w:r>
            <w:rPr>
              <w:sz w:val="21"/>
            </w:rPr>
            <w:tab/>
          </w:r>
          <w:r>
            <w:rPr>
              <w:rStyle w:val="24"/>
            </w:rPr>
            <w:t>系统功能需求</w:t>
          </w:r>
          <w:r>
            <w:tab/>
          </w:r>
          <w:r>
            <w:fldChar w:fldCharType="begin"/>
          </w:r>
          <w:r>
            <w:instrText xml:space="preserve"> PAGEREF _Toc53656663 \h </w:instrText>
          </w:r>
          <w:r>
            <w:fldChar w:fldCharType="separate"/>
          </w:r>
          <w:r>
            <w:t>6</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"_Toc53656664" </w:instrText>
          </w:r>
          <w:r>
            <w:fldChar w:fldCharType="separate"/>
          </w:r>
          <w:r>
            <w:rPr>
              <w:rStyle w:val="24"/>
            </w:rPr>
            <w:t>4.1</w:t>
          </w:r>
          <w:r>
            <w:rPr>
              <w:sz w:val="21"/>
            </w:rPr>
            <w:tab/>
          </w:r>
          <w:r>
            <w:rPr>
              <w:rStyle w:val="24"/>
            </w:rPr>
            <w:t>医疗导引及多媒体信息发布系统平台</w:t>
          </w:r>
          <w:r>
            <w:tab/>
          </w:r>
          <w:r>
            <w:fldChar w:fldCharType="begin"/>
          </w:r>
          <w:r>
            <w:instrText xml:space="preserve"> PAGEREF _Toc53656664 \h </w:instrText>
          </w:r>
          <w:r>
            <w:fldChar w:fldCharType="separate"/>
          </w:r>
          <w:r>
            <w:t>6</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"_Toc53656665" </w:instrText>
          </w:r>
          <w:r>
            <w:fldChar w:fldCharType="separate"/>
          </w:r>
          <w:r>
            <w:rPr>
              <w:rStyle w:val="24"/>
            </w:rPr>
            <w:t>4.1.1</w:t>
          </w:r>
          <w:r>
            <w:rPr>
              <w:sz w:val="21"/>
            </w:rPr>
            <w:tab/>
          </w:r>
          <w:r>
            <w:rPr>
              <w:rStyle w:val="24"/>
            </w:rPr>
            <w:t>普通门诊叫号需求</w:t>
          </w:r>
          <w:r>
            <w:tab/>
          </w:r>
          <w:r>
            <w:fldChar w:fldCharType="begin"/>
          </w:r>
          <w:r>
            <w:instrText xml:space="preserve"> PAGEREF _Toc53656665 \h </w:instrText>
          </w:r>
          <w:r>
            <w:fldChar w:fldCharType="separate"/>
          </w:r>
          <w:r>
            <w:t>6</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"_Toc53656666" </w:instrText>
          </w:r>
          <w:r>
            <w:fldChar w:fldCharType="separate"/>
          </w:r>
          <w:r>
            <w:rPr>
              <w:rStyle w:val="24"/>
            </w:rPr>
            <w:t>4.1.2</w:t>
          </w:r>
          <w:r>
            <w:rPr>
              <w:sz w:val="21"/>
            </w:rPr>
            <w:tab/>
          </w:r>
          <w:r>
            <w:rPr>
              <w:rStyle w:val="24"/>
            </w:rPr>
            <w:t>信息发布系统需求</w:t>
          </w:r>
          <w:r>
            <w:tab/>
          </w:r>
          <w:r>
            <w:fldChar w:fldCharType="begin"/>
          </w:r>
          <w:r>
            <w:instrText xml:space="preserve"> PAGEREF _Toc53656666 \h </w:instrText>
          </w:r>
          <w:r>
            <w:fldChar w:fldCharType="separate"/>
          </w:r>
          <w:r>
            <w:t>7</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"_Toc53656667" </w:instrText>
          </w:r>
          <w:r>
            <w:fldChar w:fldCharType="separate"/>
          </w:r>
          <w:r>
            <w:rPr>
              <w:rStyle w:val="24"/>
            </w:rPr>
            <w:t>4.1.3</w:t>
          </w:r>
          <w:r>
            <w:rPr>
              <w:sz w:val="21"/>
            </w:rPr>
            <w:tab/>
          </w:r>
          <w:r>
            <w:rPr>
              <w:rStyle w:val="24"/>
            </w:rPr>
            <w:t>医技检查叫号需求</w:t>
          </w:r>
          <w:r>
            <w:tab/>
          </w:r>
          <w:r>
            <w:fldChar w:fldCharType="begin"/>
          </w:r>
          <w:r>
            <w:instrText xml:space="preserve"> PAGEREF _Toc53656667 \h </w:instrText>
          </w:r>
          <w:r>
            <w:fldChar w:fldCharType="separate"/>
          </w:r>
          <w:r>
            <w:t>9</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"_Toc53656668" </w:instrText>
          </w:r>
          <w:r>
            <w:fldChar w:fldCharType="separate"/>
          </w:r>
          <w:r>
            <w:rPr>
              <w:rStyle w:val="24"/>
            </w:rPr>
            <w:t>4.1.4</w:t>
          </w:r>
          <w:r>
            <w:rPr>
              <w:sz w:val="21"/>
            </w:rPr>
            <w:tab/>
          </w:r>
          <w:r>
            <w:rPr>
              <w:rStyle w:val="24"/>
            </w:rPr>
            <w:t>医技检验叫号需求</w:t>
          </w:r>
          <w:r>
            <w:tab/>
          </w:r>
          <w:r>
            <w:fldChar w:fldCharType="begin"/>
          </w:r>
          <w:r>
            <w:instrText xml:space="preserve"> PAGEREF _Toc53656668 \h </w:instrText>
          </w:r>
          <w:r>
            <w:fldChar w:fldCharType="separate"/>
          </w:r>
          <w:r>
            <w:t>10</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"_Toc53656669" </w:instrText>
          </w:r>
          <w:r>
            <w:fldChar w:fldCharType="separate"/>
          </w:r>
          <w:r>
            <w:rPr>
              <w:rStyle w:val="24"/>
            </w:rPr>
            <w:t>4.1.5</w:t>
          </w:r>
          <w:r>
            <w:rPr>
              <w:sz w:val="21"/>
            </w:rPr>
            <w:tab/>
          </w:r>
          <w:r>
            <w:rPr>
              <w:rStyle w:val="24"/>
            </w:rPr>
            <w:t>护士站分诊台管理软件</w:t>
          </w:r>
          <w:r>
            <w:tab/>
          </w:r>
          <w:r>
            <w:fldChar w:fldCharType="begin"/>
          </w:r>
          <w:r>
            <w:instrText xml:space="preserve"> PAGEREF _Toc53656669 \h </w:instrText>
          </w:r>
          <w:r>
            <w:fldChar w:fldCharType="separate"/>
          </w:r>
          <w:r>
            <w:t>10</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"_Toc53656670" </w:instrText>
          </w:r>
          <w:r>
            <w:fldChar w:fldCharType="separate"/>
          </w:r>
          <w:r>
            <w:rPr>
              <w:rStyle w:val="24"/>
            </w:rPr>
            <w:t>4.1.6</w:t>
          </w:r>
          <w:r>
            <w:rPr>
              <w:sz w:val="21"/>
            </w:rPr>
            <w:tab/>
          </w:r>
          <w:r>
            <w:rPr>
              <w:rStyle w:val="24"/>
            </w:rPr>
            <w:t>医生工作站叫号软件</w:t>
          </w:r>
          <w:r>
            <w:tab/>
          </w:r>
          <w:r>
            <w:fldChar w:fldCharType="begin"/>
          </w:r>
          <w:r>
            <w:instrText xml:space="preserve"> PAGEREF _Toc53656670 \h </w:instrText>
          </w:r>
          <w:r>
            <w:fldChar w:fldCharType="separate"/>
          </w:r>
          <w:r>
            <w:t>12</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"_Toc53656671" </w:instrText>
          </w:r>
          <w:r>
            <w:fldChar w:fldCharType="separate"/>
          </w:r>
          <w:r>
            <w:rPr>
              <w:rStyle w:val="24"/>
            </w:rPr>
            <w:t>4.1.7</w:t>
          </w:r>
          <w:r>
            <w:rPr>
              <w:sz w:val="21"/>
            </w:rPr>
            <w:tab/>
          </w:r>
          <w:r>
            <w:rPr>
              <w:rStyle w:val="24"/>
            </w:rPr>
            <w:t>信息显示客户端软件</w:t>
          </w:r>
          <w:r>
            <w:tab/>
          </w:r>
          <w:r>
            <w:fldChar w:fldCharType="begin"/>
          </w:r>
          <w:r>
            <w:instrText xml:space="preserve"> PAGEREF _Toc53656671 \h </w:instrText>
          </w:r>
          <w:r>
            <w:fldChar w:fldCharType="separate"/>
          </w:r>
          <w:r>
            <w:t>12</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"_Toc53656672" </w:instrText>
          </w:r>
          <w:r>
            <w:fldChar w:fldCharType="separate"/>
          </w:r>
          <w:r>
            <w:rPr>
              <w:rStyle w:val="24"/>
            </w:rPr>
            <w:t>4.1.8</w:t>
          </w:r>
          <w:r>
            <w:rPr>
              <w:sz w:val="21"/>
            </w:rPr>
            <w:tab/>
          </w:r>
          <w:r>
            <w:rPr>
              <w:rStyle w:val="24"/>
            </w:rPr>
            <w:t>语音平台库软件</w:t>
          </w:r>
          <w:r>
            <w:tab/>
          </w:r>
          <w:r>
            <w:fldChar w:fldCharType="begin"/>
          </w:r>
          <w:r>
            <w:instrText xml:space="preserve"> PAGEREF _Toc53656672 \h </w:instrText>
          </w:r>
          <w:r>
            <w:fldChar w:fldCharType="separate"/>
          </w:r>
          <w:r>
            <w:t>13</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"_Toc53656673" </w:instrText>
          </w:r>
          <w:r>
            <w:fldChar w:fldCharType="separate"/>
          </w:r>
          <w:r>
            <w:rPr>
              <w:rStyle w:val="24"/>
            </w:rPr>
            <w:t>4.1.9</w:t>
          </w:r>
          <w:r>
            <w:rPr>
              <w:sz w:val="21"/>
            </w:rPr>
            <w:tab/>
          </w:r>
          <w:r>
            <w:rPr>
              <w:rStyle w:val="24"/>
            </w:rPr>
            <w:t>系统数据接口</w:t>
          </w:r>
          <w:r>
            <w:tab/>
          </w:r>
          <w:r>
            <w:fldChar w:fldCharType="begin"/>
          </w:r>
          <w:r>
            <w:instrText xml:space="preserve"> PAGEREF _Toc53656673 \h </w:instrText>
          </w:r>
          <w:r>
            <w:fldChar w:fldCharType="separate"/>
          </w:r>
          <w:r>
            <w:t>13</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"_Toc53656674" </w:instrText>
          </w:r>
          <w:r>
            <w:fldChar w:fldCharType="separate"/>
          </w:r>
          <w:r>
            <w:rPr>
              <w:rStyle w:val="24"/>
            </w:rPr>
            <w:t>4.2</w:t>
          </w:r>
          <w:r>
            <w:rPr>
              <w:sz w:val="21"/>
            </w:rPr>
            <w:tab/>
          </w:r>
          <w:r>
            <w:rPr>
              <w:rStyle w:val="24"/>
            </w:rPr>
            <w:t>硬件详细参数要求</w:t>
          </w:r>
          <w:r>
            <w:tab/>
          </w:r>
          <w:r>
            <w:fldChar w:fldCharType="begin"/>
          </w:r>
          <w:r>
            <w:instrText xml:space="preserve"> PAGEREF _Toc53656674 \h </w:instrText>
          </w:r>
          <w:r>
            <w:fldChar w:fldCharType="separate"/>
          </w:r>
          <w:r>
            <w:t>14</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"_Toc53656675" </w:instrText>
          </w:r>
          <w:r>
            <w:fldChar w:fldCharType="separate"/>
          </w:r>
          <w:r>
            <w:rPr>
              <w:rStyle w:val="24"/>
            </w:rPr>
            <w:t>4.2.1</w:t>
          </w:r>
          <w:r>
            <w:rPr>
              <w:sz w:val="21"/>
            </w:rPr>
            <w:tab/>
          </w:r>
          <w:r>
            <w:rPr>
              <w:rStyle w:val="24"/>
            </w:rPr>
            <w:t>22英寸医疗分诊一体机</w:t>
          </w:r>
          <w:r>
            <w:tab/>
          </w:r>
          <w:r>
            <w:fldChar w:fldCharType="begin"/>
          </w:r>
          <w:r>
            <w:instrText xml:space="preserve"> PAGEREF _Toc53656675 \h </w:instrText>
          </w:r>
          <w:r>
            <w:fldChar w:fldCharType="separate"/>
          </w:r>
          <w:r>
            <w:t>14</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"_Toc53656676" </w:instrText>
          </w:r>
          <w:r>
            <w:fldChar w:fldCharType="separate"/>
          </w:r>
          <w:r>
            <w:rPr>
              <w:rStyle w:val="24"/>
            </w:rPr>
            <w:t>4.2.2</w:t>
          </w:r>
          <w:r>
            <w:rPr>
              <w:sz w:val="21"/>
            </w:rPr>
            <w:tab/>
          </w:r>
          <w:r>
            <w:rPr>
              <w:rStyle w:val="24"/>
            </w:rPr>
            <w:t>32英寸医疗分诊一体机</w:t>
          </w:r>
          <w:r>
            <w:tab/>
          </w:r>
          <w:r>
            <w:fldChar w:fldCharType="begin"/>
          </w:r>
          <w:r>
            <w:instrText xml:space="preserve"> PAGEREF _Toc53656676 \h </w:instrText>
          </w:r>
          <w:r>
            <w:fldChar w:fldCharType="separate"/>
          </w:r>
          <w:r>
            <w:t>15</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"_Toc53656677" </w:instrText>
          </w:r>
          <w:r>
            <w:fldChar w:fldCharType="separate"/>
          </w:r>
          <w:r>
            <w:rPr>
              <w:rStyle w:val="24"/>
            </w:rPr>
            <w:t>4.2.3</w:t>
          </w:r>
          <w:r>
            <w:rPr>
              <w:sz w:val="21"/>
            </w:rPr>
            <w:tab/>
          </w:r>
          <w:r>
            <w:rPr>
              <w:rStyle w:val="24"/>
            </w:rPr>
            <w:t>自助服务终端</w:t>
          </w:r>
          <w:r>
            <w:tab/>
          </w:r>
          <w:r>
            <w:fldChar w:fldCharType="begin"/>
          </w:r>
          <w:r>
            <w:instrText xml:space="preserve"> PAGEREF _Toc53656677 \h </w:instrText>
          </w:r>
          <w:r>
            <w:fldChar w:fldCharType="separate"/>
          </w:r>
          <w:r>
            <w:t>16</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"_Toc53656678" </w:instrText>
          </w:r>
          <w:r>
            <w:fldChar w:fldCharType="separate"/>
          </w:r>
          <w:r>
            <w:rPr>
              <w:rStyle w:val="24"/>
            </w:rPr>
            <w:t>4.2.4</w:t>
          </w:r>
          <w:r>
            <w:rPr>
              <w:sz w:val="21"/>
            </w:rPr>
            <w:tab/>
          </w:r>
          <w:r>
            <w:rPr>
              <w:rStyle w:val="24"/>
            </w:rPr>
            <w:t>物理叫号器</w:t>
          </w:r>
          <w:r>
            <w:tab/>
          </w:r>
          <w:r>
            <w:fldChar w:fldCharType="begin"/>
          </w:r>
          <w:r>
            <w:instrText xml:space="preserve"> PAGEREF _Toc53656678 \h </w:instrText>
          </w:r>
          <w:r>
            <w:fldChar w:fldCharType="separate"/>
          </w:r>
          <w:r>
            <w:t>18</w:t>
          </w:r>
          <w:r>
            <w:fldChar w:fldCharType="end"/>
          </w:r>
          <w:r>
            <w:fldChar w:fldCharType="end"/>
          </w:r>
        </w:p>
        <w:p>
          <w:pPr>
            <w:pStyle w:val="13"/>
            <w:tabs>
              <w:tab w:val="left" w:pos="1680"/>
              <w:tab w:val="right" w:leader="dot" w:pos="8296"/>
            </w:tabs>
            <w:ind w:left="960"/>
            <w:rPr>
              <w:sz w:val="21"/>
            </w:rPr>
          </w:pPr>
          <w:r>
            <w:fldChar w:fldCharType="begin"/>
          </w:r>
          <w:r>
            <w:instrText xml:space="preserve"> HYPERLINK \l "_Toc53656679" </w:instrText>
          </w:r>
          <w:r>
            <w:fldChar w:fldCharType="separate"/>
          </w:r>
          <w:r>
            <w:rPr>
              <w:rStyle w:val="24"/>
            </w:rPr>
            <w:t>4.2.5</w:t>
          </w:r>
          <w:r>
            <w:rPr>
              <w:sz w:val="21"/>
            </w:rPr>
            <w:tab/>
          </w:r>
          <w:r>
            <w:rPr>
              <w:rStyle w:val="24"/>
            </w:rPr>
            <w:t>机顶盒</w:t>
          </w:r>
          <w:r>
            <w:tab/>
          </w:r>
          <w:r>
            <w:fldChar w:fldCharType="begin"/>
          </w:r>
          <w:r>
            <w:instrText xml:space="preserve"> PAGEREF _Toc53656679 \h </w:instrText>
          </w:r>
          <w:r>
            <w:fldChar w:fldCharType="separate"/>
          </w:r>
          <w:r>
            <w:t>18</w:t>
          </w:r>
          <w:r>
            <w:fldChar w:fldCharType="end"/>
          </w:r>
          <w:r>
            <w:fldChar w:fldCharType="end"/>
          </w:r>
        </w:p>
        <w:p>
          <w:pPr>
            <w:pStyle w:val="18"/>
            <w:tabs>
              <w:tab w:val="left" w:pos="1050"/>
            </w:tabs>
            <w:rPr>
              <w:sz w:val="21"/>
            </w:rPr>
          </w:pPr>
          <w:r>
            <w:fldChar w:fldCharType="begin"/>
          </w:r>
          <w:r>
            <w:instrText xml:space="preserve"> HYPERLINK \l "_Toc53656680" </w:instrText>
          </w:r>
          <w:r>
            <w:fldChar w:fldCharType="separate"/>
          </w:r>
          <w:r>
            <w:rPr>
              <w:rStyle w:val="24"/>
              <w:rFonts w:asciiTheme="majorEastAsia" w:hAnsiTheme="majorEastAsia"/>
            </w:rPr>
            <w:t>5</w:t>
          </w:r>
          <w:r>
            <w:rPr>
              <w:sz w:val="21"/>
            </w:rPr>
            <w:tab/>
          </w:r>
          <w:r>
            <w:rPr>
              <w:rStyle w:val="24"/>
            </w:rPr>
            <w:t>项目管理与实施要求</w:t>
          </w:r>
          <w:r>
            <w:tab/>
          </w:r>
          <w:r>
            <w:fldChar w:fldCharType="begin"/>
          </w:r>
          <w:r>
            <w:instrText xml:space="preserve"> PAGEREF _Toc53656680 \h </w:instrText>
          </w:r>
          <w:r>
            <w:fldChar w:fldCharType="separate"/>
          </w:r>
          <w:r>
            <w:t>19</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"_Toc53656681" </w:instrText>
          </w:r>
          <w:r>
            <w:fldChar w:fldCharType="separate"/>
          </w:r>
          <w:r>
            <w:rPr>
              <w:rStyle w:val="24"/>
            </w:rPr>
            <w:t>5.1</w:t>
          </w:r>
          <w:r>
            <w:rPr>
              <w:sz w:val="21"/>
            </w:rPr>
            <w:tab/>
          </w:r>
          <w:r>
            <w:rPr>
              <w:rStyle w:val="24"/>
            </w:rPr>
            <w:t>项目工作小组</w:t>
          </w:r>
          <w:r>
            <w:tab/>
          </w:r>
          <w:r>
            <w:fldChar w:fldCharType="begin"/>
          </w:r>
          <w:r>
            <w:instrText xml:space="preserve"> PAGEREF _Toc53656681 \h </w:instrText>
          </w:r>
          <w:r>
            <w:fldChar w:fldCharType="separate"/>
          </w:r>
          <w:r>
            <w:t>19</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"_Toc53656682" </w:instrText>
          </w:r>
          <w:r>
            <w:fldChar w:fldCharType="separate"/>
          </w:r>
          <w:r>
            <w:rPr>
              <w:rStyle w:val="24"/>
            </w:rPr>
            <w:t>5.2</w:t>
          </w:r>
          <w:r>
            <w:rPr>
              <w:sz w:val="21"/>
            </w:rPr>
            <w:tab/>
          </w:r>
          <w:r>
            <w:rPr>
              <w:rStyle w:val="24"/>
            </w:rPr>
            <w:t>项目进度要求</w:t>
          </w:r>
          <w:r>
            <w:tab/>
          </w:r>
          <w:r>
            <w:fldChar w:fldCharType="begin"/>
          </w:r>
          <w:r>
            <w:instrText xml:space="preserve"> PAGEREF _Toc53656682 \h </w:instrText>
          </w:r>
          <w:r>
            <w:fldChar w:fldCharType="separate"/>
          </w:r>
          <w:r>
            <w:t>20</w:t>
          </w:r>
          <w:r>
            <w:fldChar w:fldCharType="end"/>
          </w:r>
          <w:r>
            <w:fldChar w:fldCharType="end"/>
          </w:r>
        </w:p>
        <w:p>
          <w:pPr>
            <w:pStyle w:val="19"/>
            <w:tabs>
              <w:tab w:val="left" w:pos="1050"/>
              <w:tab w:val="right" w:leader="dot" w:pos="8296"/>
            </w:tabs>
            <w:ind w:left="480"/>
            <w:rPr>
              <w:sz w:val="21"/>
            </w:rPr>
          </w:pPr>
          <w:r>
            <w:fldChar w:fldCharType="begin"/>
          </w:r>
          <w:r>
            <w:instrText xml:space="preserve"> HYPERLINK \l "_Toc53656683" </w:instrText>
          </w:r>
          <w:r>
            <w:fldChar w:fldCharType="separate"/>
          </w:r>
          <w:r>
            <w:rPr>
              <w:rStyle w:val="24"/>
            </w:rPr>
            <w:t>5.3</w:t>
          </w:r>
          <w:r>
            <w:rPr>
              <w:sz w:val="21"/>
            </w:rPr>
            <w:tab/>
          </w:r>
          <w:r>
            <w:rPr>
              <w:rStyle w:val="24"/>
            </w:rPr>
            <w:t>文档资料管理</w:t>
          </w:r>
          <w:r>
            <w:tab/>
          </w:r>
          <w:r>
            <w:fldChar w:fldCharType="begin"/>
          </w:r>
          <w:r>
            <w:instrText xml:space="preserve"> PAGEREF _Toc53656683 \h </w:instrText>
          </w:r>
          <w:r>
            <w:fldChar w:fldCharType="separate"/>
          </w:r>
          <w:r>
            <w:t>20</w:t>
          </w:r>
          <w:r>
            <w:fldChar w:fldCharType="end"/>
          </w:r>
          <w:r>
            <w:fldChar w:fldCharType="end"/>
          </w:r>
        </w:p>
        <w:p>
          <w:pPr>
            <w:pStyle w:val="18"/>
            <w:tabs>
              <w:tab w:val="left" w:pos="1050"/>
            </w:tabs>
            <w:rPr>
              <w:sz w:val="21"/>
            </w:rPr>
          </w:pPr>
          <w:r>
            <w:fldChar w:fldCharType="begin"/>
          </w:r>
          <w:r>
            <w:instrText xml:space="preserve"> HYPERLINK \l "_Toc53656684" </w:instrText>
          </w:r>
          <w:r>
            <w:fldChar w:fldCharType="separate"/>
          </w:r>
          <w:r>
            <w:rPr>
              <w:rStyle w:val="24"/>
              <w:rFonts w:asciiTheme="majorEastAsia" w:hAnsiTheme="majorEastAsia"/>
            </w:rPr>
            <w:t>6</w:t>
          </w:r>
          <w:r>
            <w:rPr>
              <w:sz w:val="21"/>
            </w:rPr>
            <w:tab/>
          </w:r>
          <w:r>
            <w:rPr>
              <w:rStyle w:val="24"/>
            </w:rPr>
            <w:t>培训要求</w:t>
          </w:r>
          <w:r>
            <w:tab/>
          </w:r>
          <w:r>
            <w:fldChar w:fldCharType="begin"/>
          </w:r>
          <w:r>
            <w:instrText xml:space="preserve"> PAGEREF _Toc53656684 \h </w:instrText>
          </w:r>
          <w:r>
            <w:fldChar w:fldCharType="separate"/>
          </w:r>
          <w:r>
            <w:t>20</w:t>
          </w:r>
          <w:r>
            <w:fldChar w:fldCharType="end"/>
          </w:r>
          <w:r>
            <w:fldChar w:fldCharType="end"/>
          </w:r>
        </w:p>
        <w:p>
          <w:pPr>
            <w:pStyle w:val="18"/>
            <w:tabs>
              <w:tab w:val="left" w:pos="1050"/>
            </w:tabs>
            <w:rPr>
              <w:sz w:val="21"/>
            </w:rPr>
          </w:pPr>
          <w:r>
            <w:fldChar w:fldCharType="begin"/>
          </w:r>
          <w:r>
            <w:instrText xml:space="preserve"> HYPERLINK \l "_Toc53656685" </w:instrText>
          </w:r>
          <w:r>
            <w:fldChar w:fldCharType="separate"/>
          </w:r>
          <w:r>
            <w:rPr>
              <w:rStyle w:val="24"/>
              <w:rFonts w:asciiTheme="majorEastAsia" w:hAnsiTheme="majorEastAsia"/>
            </w:rPr>
            <w:t>7</w:t>
          </w:r>
          <w:r>
            <w:rPr>
              <w:sz w:val="21"/>
            </w:rPr>
            <w:tab/>
          </w:r>
          <w:r>
            <w:rPr>
              <w:rStyle w:val="24"/>
            </w:rPr>
            <w:t>技术实现和服务要求</w:t>
          </w:r>
          <w:r>
            <w:tab/>
          </w:r>
          <w:r>
            <w:fldChar w:fldCharType="begin"/>
          </w:r>
          <w:r>
            <w:instrText xml:space="preserve"> PAGEREF _Toc53656685 \h </w:instrText>
          </w:r>
          <w:r>
            <w:fldChar w:fldCharType="separate"/>
          </w:r>
          <w:r>
            <w:t>21</w:t>
          </w:r>
          <w:r>
            <w:fldChar w:fldCharType="end"/>
          </w:r>
          <w:r>
            <w:fldChar w:fldCharType="end"/>
          </w:r>
        </w:p>
        <w:p>
          <w:pPr>
            <w:pStyle w:val="18"/>
            <w:tabs>
              <w:tab w:val="left" w:pos="1050"/>
            </w:tabs>
            <w:rPr>
              <w:sz w:val="21"/>
            </w:rPr>
          </w:pPr>
          <w:r>
            <w:fldChar w:fldCharType="begin"/>
          </w:r>
          <w:r>
            <w:instrText xml:space="preserve"> HYPERLINK \l "_Toc53656686" </w:instrText>
          </w:r>
          <w:r>
            <w:fldChar w:fldCharType="separate"/>
          </w:r>
          <w:r>
            <w:rPr>
              <w:rStyle w:val="24"/>
              <w:rFonts w:asciiTheme="majorEastAsia" w:hAnsiTheme="majorEastAsia"/>
            </w:rPr>
            <w:t>8</w:t>
          </w:r>
          <w:r>
            <w:rPr>
              <w:sz w:val="21"/>
            </w:rPr>
            <w:tab/>
          </w:r>
          <w:r>
            <w:rPr>
              <w:rStyle w:val="24"/>
            </w:rPr>
            <w:t>符合性检查条件</w:t>
          </w:r>
          <w:r>
            <w:tab/>
          </w:r>
          <w:r>
            <w:fldChar w:fldCharType="begin"/>
          </w:r>
          <w:r>
            <w:instrText xml:space="preserve"> PAGEREF _Toc53656686 \h </w:instrText>
          </w:r>
          <w:r>
            <w:fldChar w:fldCharType="separate"/>
          </w:r>
          <w:r>
            <w:t>22</w:t>
          </w:r>
          <w:r>
            <w:fldChar w:fldCharType="end"/>
          </w:r>
          <w:r>
            <w:fldChar w:fldCharType="end"/>
          </w:r>
        </w:p>
        <w:p>
          <w:pPr>
            <w:pStyle w:val="18"/>
            <w:tabs>
              <w:tab w:val="left" w:pos="1050"/>
            </w:tabs>
            <w:rPr>
              <w:sz w:val="21"/>
            </w:rPr>
          </w:pPr>
          <w:r>
            <w:fldChar w:fldCharType="begin"/>
          </w:r>
          <w:r>
            <w:instrText xml:space="preserve"> HYPERLINK \l "_Toc53656687" </w:instrText>
          </w:r>
          <w:r>
            <w:fldChar w:fldCharType="separate"/>
          </w:r>
          <w:r>
            <w:rPr>
              <w:rStyle w:val="24"/>
              <w:rFonts w:asciiTheme="majorEastAsia" w:hAnsiTheme="majorEastAsia"/>
            </w:rPr>
            <w:t>9</w:t>
          </w:r>
          <w:r>
            <w:rPr>
              <w:sz w:val="21"/>
            </w:rPr>
            <w:tab/>
          </w:r>
          <w:r>
            <w:rPr>
              <w:rStyle w:val="24"/>
            </w:rPr>
            <w:t>商务、技术、价格评审内容及标准</w:t>
          </w:r>
          <w:r>
            <w:tab/>
          </w:r>
          <w:r>
            <w:fldChar w:fldCharType="begin"/>
          </w:r>
          <w:r>
            <w:instrText xml:space="preserve"> PAGEREF _Toc53656687 \h </w:instrText>
          </w:r>
          <w:r>
            <w:fldChar w:fldCharType="separate"/>
          </w:r>
          <w:r>
            <w:t>22</w:t>
          </w:r>
          <w:r>
            <w:fldChar w:fldCharType="end"/>
          </w:r>
          <w:r>
            <w:fldChar w:fldCharType="end"/>
          </w:r>
        </w:p>
        <w:p>
          <w:pPr>
            <w:rPr>
              <w:rFonts w:eastAsia="宋体" w:asciiTheme="minorEastAsia" w:hAnsiTheme="minorEastAsia"/>
              <w:sz w:val="21"/>
              <w:szCs w:val="21"/>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asciiTheme="minorEastAsia" w:hAnsiTheme="minorEastAsia"/>
              <w:bCs/>
              <w:szCs w:val="21"/>
              <w:u w:val="single"/>
              <w:lang w:val="zh-CN"/>
            </w:rPr>
            <w:fldChar w:fldCharType="end"/>
          </w:r>
        </w:p>
      </w:sdtContent>
    </w:sdt>
    <w:p>
      <w:pPr>
        <w:pStyle w:val="2"/>
      </w:pPr>
      <w:bookmarkStart w:id="0" w:name="_Toc53656653"/>
      <w:r>
        <w:rPr>
          <w:rFonts w:hint="eastAsia"/>
        </w:rPr>
        <w:t>项目概述</w:t>
      </w:r>
      <w:bookmarkEnd w:id="0"/>
    </w:p>
    <w:p>
      <w:pPr>
        <w:pStyle w:val="5"/>
        <w:rPr>
          <w:color w:val="000000" w:themeColor="text1"/>
          <w14:textFill>
            <w14:solidFill>
              <w14:schemeClr w14:val="tx1"/>
            </w14:solidFill>
          </w14:textFill>
        </w:rPr>
      </w:pPr>
      <w:bookmarkStart w:id="1" w:name="_Toc53656654"/>
      <w:r>
        <w:rPr>
          <w:rFonts w:hint="eastAsia"/>
          <w:color w:val="000000" w:themeColor="text1"/>
          <w14:textFill>
            <w14:solidFill>
              <w14:schemeClr w14:val="tx1"/>
            </w14:solidFill>
          </w14:textFill>
        </w:rPr>
        <w:t>医院简介</w:t>
      </w:r>
      <w:bookmarkEnd w:id="1"/>
    </w:p>
    <w:p>
      <w:pPr>
        <w:pStyle w:val="27"/>
        <w:ind w:firstLine="42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汉川市人民医院始建于</w:t>
      </w:r>
      <w:r>
        <w:rPr>
          <w:color w:val="000000" w:themeColor="text1"/>
          <w:sz w:val="21"/>
          <w14:textFill>
            <w14:solidFill>
              <w14:schemeClr w14:val="tx1"/>
            </w14:solidFill>
          </w14:textFill>
        </w:rPr>
        <w:t>1950</w:t>
      </w:r>
      <w:r>
        <w:rPr>
          <w:rFonts w:hint="eastAsia"/>
          <w:color w:val="000000" w:themeColor="text1"/>
          <w:sz w:val="21"/>
          <w14:textFill>
            <w14:solidFill>
              <w14:schemeClr w14:val="tx1"/>
            </w14:solidFill>
          </w14:textFill>
        </w:rPr>
        <w:t>年，是全市最大的一所集医疗、教学、科研、预防保健、</w:t>
      </w:r>
      <w:r>
        <w:rPr>
          <w:color w:val="000000" w:themeColor="text1"/>
          <w:sz w:val="21"/>
          <w14:textFill>
            <w14:solidFill>
              <w14:schemeClr w14:val="tx1"/>
            </w14:solidFill>
          </w14:textFill>
        </w:rPr>
        <w:t>120</w:t>
      </w:r>
      <w:r>
        <w:rPr>
          <w:rFonts w:hint="eastAsia"/>
          <w:color w:val="000000" w:themeColor="text1"/>
          <w:sz w:val="21"/>
          <w14:textFill>
            <w14:solidFill>
              <w14:schemeClr w14:val="tx1"/>
            </w14:solidFill>
          </w14:textFill>
        </w:rPr>
        <w:t>急救中心为一体的非营利性综合医院，承担着全市</w:t>
      </w:r>
      <w:r>
        <w:rPr>
          <w:color w:val="000000" w:themeColor="text1"/>
          <w:sz w:val="21"/>
          <w14:textFill>
            <w14:solidFill>
              <w14:schemeClr w14:val="tx1"/>
            </w14:solidFill>
          </w14:textFill>
        </w:rPr>
        <w:t>113</w:t>
      </w:r>
      <w:r>
        <w:rPr>
          <w:rFonts w:hint="eastAsia"/>
          <w:color w:val="000000" w:themeColor="text1"/>
          <w:sz w:val="21"/>
          <w14:textFill>
            <w14:solidFill>
              <w14:schemeClr w14:val="tx1"/>
            </w14:solidFill>
          </w14:textFill>
        </w:rPr>
        <w:t>万人口及周边县市部分群众的医疗卫生服务。</w:t>
      </w:r>
      <w:r>
        <w:rPr>
          <w:color w:val="000000" w:themeColor="text1"/>
          <w:sz w:val="21"/>
          <w14:textFill>
            <w14:solidFill>
              <w14:schemeClr w14:val="tx1"/>
            </w14:solidFill>
          </w14:textFill>
        </w:rPr>
        <w:t>2011</w:t>
      </w:r>
      <w:r>
        <w:rPr>
          <w:rFonts w:hint="eastAsia"/>
          <w:color w:val="000000" w:themeColor="text1"/>
          <w:sz w:val="21"/>
          <w14:textFill>
            <w14:solidFill>
              <w14:schemeClr w14:val="tx1"/>
            </w14:solidFill>
          </w14:textFill>
        </w:rPr>
        <w:t>年</w:t>
      </w:r>
      <w:r>
        <w:rPr>
          <w:color w:val="000000" w:themeColor="text1"/>
          <w:sz w:val="21"/>
          <w14:textFill>
            <w14:solidFill>
              <w14:schemeClr w14:val="tx1"/>
            </w14:solidFill>
          </w14:textFill>
        </w:rPr>
        <w:t>6</w:t>
      </w:r>
      <w:r>
        <w:rPr>
          <w:rFonts w:hint="eastAsia"/>
          <w:color w:val="000000" w:themeColor="text1"/>
          <w:sz w:val="21"/>
          <w14:textFill>
            <w14:solidFill>
              <w14:schemeClr w14:val="tx1"/>
            </w14:solidFill>
          </w14:textFill>
        </w:rPr>
        <w:t>月由武汉大学人民医院托管，</w:t>
      </w:r>
      <w:r>
        <w:rPr>
          <w:color w:val="000000" w:themeColor="text1"/>
          <w:sz w:val="21"/>
          <w14:textFill>
            <w14:solidFill>
              <w14:schemeClr w14:val="tx1"/>
            </w14:solidFill>
          </w14:textFill>
        </w:rPr>
        <w:t>2013</w:t>
      </w:r>
      <w:r>
        <w:rPr>
          <w:rFonts w:hint="eastAsia"/>
          <w:color w:val="000000" w:themeColor="text1"/>
          <w:sz w:val="21"/>
          <w14:textFill>
            <w14:solidFill>
              <w14:schemeClr w14:val="tx1"/>
            </w14:solidFill>
          </w14:textFill>
        </w:rPr>
        <w:t>年元月由原省卫生厅核定为三级医院，</w:t>
      </w:r>
      <w:r>
        <w:rPr>
          <w:color w:val="000000" w:themeColor="text1"/>
          <w:sz w:val="21"/>
          <w14:textFill>
            <w14:solidFill>
              <w14:schemeClr w14:val="tx1"/>
            </w14:solidFill>
          </w14:textFill>
        </w:rPr>
        <w:t>2013</w:t>
      </w:r>
      <w:r>
        <w:rPr>
          <w:rFonts w:hint="eastAsia"/>
          <w:color w:val="000000" w:themeColor="text1"/>
          <w:sz w:val="21"/>
          <w14:textFill>
            <w14:solidFill>
              <w14:schemeClr w14:val="tx1"/>
            </w14:solidFill>
          </w14:textFill>
        </w:rPr>
        <w:t>年</w:t>
      </w:r>
      <w:r>
        <w:rPr>
          <w:color w:val="000000" w:themeColor="text1"/>
          <w:sz w:val="21"/>
          <w14:textFill>
            <w14:solidFill>
              <w14:schemeClr w14:val="tx1"/>
            </w14:solidFill>
          </w14:textFill>
        </w:rPr>
        <w:t>4</w:t>
      </w:r>
      <w:r>
        <w:rPr>
          <w:rFonts w:hint="eastAsia"/>
          <w:color w:val="000000" w:themeColor="text1"/>
          <w:sz w:val="21"/>
          <w14:textFill>
            <w14:solidFill>
              <w14:schemeClr w14:val="tx1"/>
            </w14:solidFill>
          </w14:textFill>
        </w:rPr>
        <w:t>月完成整体搬迁，</w:t>
      </w:r>
      <w:r>
        <w:rPr>
          <w:color w:val="000000" w:themeColor="text1"/>
          <w:sz w:val="21"/>
          <w14:textFill>
            <w14:solidFill>
              <w14:schemeClr w14:val="tx1"/>
            </w14:solidFill>
          </w14:textFill>
        </w:rPr>
        <w:t>2016</w:t>
      </w:r>
      <w:r>
        <w:rPr>
          <w:rFonts w:hint="eastAsia"/>
          <w:color w:val="000000" w:themeColor="text1"/>
          <w:sz w:val="21"/>
          <w14:textFill>
            <w14:solidFill>
              <w14:schemeClr w14:val="tx1"/>
            </w14:solidFill>
          </w14:textFill>
        </w:rPr>
        <w:t>年在全国县市级医院综合实力排名榜上位居第</w:t>
      </w:r>
      <w:r>
        <w:rPr>
          <w:color w:val="000000" w:themeColor="text1"/>
          <w:sz w:val="21"/>
          <w14:textFill>
            <w14:solidFill>
              <w14:schemeClr w14:val="tx1"/>
            </w14:solidFill>
          </w14:textFill>
        </w:rPr>
        <w:t>46</w:t>
      </w:r>
      <w:r>
        <w:rPr>
          <w:rFonts w:hint="eastAsia"/>
          <w:color w:val="000000" w:themeColor="text1"/>
          <w:sz w:val="21"/>
          <w14:textFill>
            <w14:solidFill>
              <w14:schemeClr w14:val="tx1"/>
            </w14:solidFill>
          </w14:textFill>
        </w:rPr>
        <w:t>名，</w:t>
      </w:r>
      <w:r>
        <w:rPr>
          <w:color w:val="000000" w:themeColor="text1"/>
          <w:sz w:val="21"/>
          <w14:textFill>
            <w14:solidFill>
              <w14:schemeClr w14:val="tx1"/>
            </w14:solidFill>
          </w14:textFill>
        </w:rPr>
        <w:t>2017</w:t>
      </w:r>
      <w:r>
        <w:rPr>
          <w:rFonts w:hint="eastAsia"/>
          <w:color w:val="000000" w:themeColor="text1"/>
          <w:sz w:val="21"/>
          <w14:textFill>
            <w14:solidFill>
              <w14:schemeClr w14:val="tx1"/>
            </w14:solidFill>
          </w14:textFill>
        </w:rPr>
        <w:t>年</w:t>
      </w:r>
      <w:r>
        <w:rPr>
          <w:color w:val="000000" w:themeColor="text1"/>
          <w:sz w:val="21"/>
          <w14:textFill>
            <w14:solidFill>
              <w14:schemeClr w14:val="tx1"/>
            </w14:solidFill>
          </w14:textFill>
        </w:rPr>
        <w:t>6</w:t>
      </w:r>
      <w:r>
        <w:rPr>
          <w:rFonts w:hint="eastAsia"/>
          <w:color w:val="000000" w:themeColor="text1"/>
          <w:sz w:val="21"/>
          <w14:textFill>
            <w14:solidFill>
              <w14:schemeClr w14:val="tx1"/>
            </w14:solidFill>
          </w14:textFill>
        </w:rPr>
        <w:t>月成功通过三级乙等医院评审。</w:t>
      </w:r>
    </w:p>
    <w:p>
      <w:pPr>
        <w:pStyle w:val="27"/>
        <w:ind w:firstLine="42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医院在2</w:t>
      </w:r>
      <w:r>
        <w:rPr>
          <w:color w:val="000000" w:themeColor="text1"/>
          <w:sz w:val="21"/>
          <w14:textFill>
            <w14:solidFill>
              <w14:schemeClr w14:val="tx1"/>
            </w14:solidFill>
          </w14:textFill>
        </w:rPr>
        <w:t>013</w:t>
      </w:r>
      <w:r>
        <w:rPr>
          <w:rFonts w:hint="eastAsia"/>
          <w:color w:val="000000" w:themeColor="text1"/>
          <w:sz w:val="21"/>
          <w14:textFill>
            <w14:solidFill>
              <w14:schemeClr w14:val="tx1"/>
            </w14:solidFill>
          </w14:textFill>
        </w:rPr>
        <w:t xml:space="preserve">年新院搬迁的时候进行了系统升级，建成了全面的医院信息系统，包括HIS、EMR、PACS、LIS等核心系统，本次建设以医疗导引及多媒体信息发布系统为目标，主要招标内容为满足医院三甲评审所需系统。 </w:t>
      </w:r>
    </w:p>
    <w:p>
      <w:pPr>
        <w:pStyle w:val="5"/>
        <w:rPr>
          <w:color w:val="000000" w:themeColor="text1"/>
          <w14:textFill>
            <w14:solidFill>
              <w14:schemeClr w14:val="tx1"/>
            </w14:solidFill>
          </w14:textFill>
        </w:rPr>
      </w:pPr>
      <w:bookmarkStart w:id="2" w:name="_Toc53656655"/>
      <w:r>
        <w:rPr>
          <w:rFonts w:hint="eastAsia"/>
          <w:color w:val="000000" w:themeColor="text1"/>
          <w14:textFill>
            <w14:solidFill>
              <w14:schemeClr w14:val="tx1"/>
            </w14:solidFill>
          </w14:textFill>
        </w:rPr>
        <w:t>建设需求</w:t>
      </w:r>
      <w:bookmarkEnd w:id="2"/>
    </w:p>
    <w:p>
      <w:pPr>
        <w:pStyle w:val="27"/>
        <w:ind w:firstLine="42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建设汉川市人民医院医疗导引及多媒体信息发布系统，系统将在门诊、医学检验科、放射科等科室部署医疗分诊一体机、</w:t>
      </w:r>
      <w:r>
        <w:rPr>
          <w:color w:val="000000" w:themeColor="text1"/>
          <w:sz w:val="21"/>
          <w14:textFill>
            <w14:solidFill>
              <w14:schemeClr w14:val="tx1"/>
            </w14:solidFill>
          </w14:textFill>
        </w:rPr>
        <w:t>自助</w:t>
      </w:r>
      <w:r>
        <w:rPr>
          <w:rFonts w:hint="eastAsia"/>
          <w:color w:val="000000" w:themeColor="text1"/>
          <w:sz w:val="21"/>
          <w14:textFill>
            <w14:solidFill>
              <w14:schemeClr w14:val="tx1"/>
            </w14:solidFill>
          </w14:textFill>
        </w:rPr>
        <w:t>服务终端、机顶盒、物理叫号器作为系统门诊分诊排队叫号、信息发布宣教的系统业务控制及发声扩音设备使用。医生诊室内工作站电脑需加装叫号软件，护士分诊台电脑需加装分诊台管理软件。</w:t>
      </w:r>
    </w:p>
    <w:p>
      <w:pPr>
        <w:pStyle w:val="27"/>
        <w:ind w:firstLine="420"/>
        <w:rPr>
          <w:rFonts w:ascii="宋体" w:hAnsi="宋体"/>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通过信息化手段提高医院运营管理效率、提高医疗门诊服务质量、提高患者就诊满意度。</w:t>
      </w:r>
    </w:p>
    <w:p>
      <w:pPr>
        <w:pStyle w:val="5"/>
        <w:rPr>
          <w:color w:val="000000" w:themeColor="text1"/>
          <w14:textFill>
            <w14:solidFill>
              <w14:schemeClr w14:val="tx1"/>
            </w14:solidFill>
          </w14:textFill>
        </w:rPr>
      </w:pPr>
      <w:bookmarkStart w:id="3" w:name="_Toc53656656"/>
      <w:r>
        <w:rPr>
          <w:rFonts w:hint="eastAsia"/>
          <w:color w:val="000000" w:themeColor="text1"/>
          <w14:textFill>
            <w14:solidFill>
              <w14:schemeClr w14:val="tx1"/>
            </w14:solidFill>
          </w14:textFill>
        </w:rPr>
        <w:t>建设原则</w:t>
      </w:r>
      <w:bookmarkEnd w:id="3"/>
    </w:p>
    <w:p>
      <w:pPr>
        <w:pStyle w:val="27"/>
        <w:numPr>
          <w:ilvl w:val="0"/>
          <w:numId w:val="2"/>
        </w:numPr>
        <w:ind w:firstLineChars="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设计依据</w:t>
      </w:r>
    </w:p>
    <w:p>
      <w:pPr>
        <w:pStyle w:val="37"/>
        <w:spacing w:line="360" w:lineRule="auto"/>
        <w:ind w:left="425" w:firstLine="0" w:firstLineChars="0"/>
        <w:contextualSpacing/>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系统建设基于医院内部计算机网络，并需与医院已有的HIS、L</w:t>
      </w:r>
      <w:r>
        <w:rPr>
          <w:rFonts w:ascii="宋体" w:hAnsi="宋体" w:eastAsia="宋体" w:cs="宋体"/>
          <w:color w:val="000000" w:themeColor="text1"/>
          <w:sz w:val="21"/>
          <w:szCs w:val="21"/>
          <w14:textFill>
            <w14:solidFill>
              <w14:schemeClr w14:val="tx1"/>
            </w14:solidFill>
          </w14:textFill>
        </w:rPr>
        <w:t>IS</w:t>
      </w:r>
      <w:r>
        <w:rPr>
          <w:rFonts w:hint="eastAsia" w:ascii="宋体" w:hAnsi="宋体" w:eastAsia="宋体" w:cs="宋体"/>
          <w:color w:val="000000" w:themeColor="text1"/>
          <w:sz w:val="21"/>
          <w:szCs w:val="21"/>
          <w14:textFill>
            <w14:solidFill>
              <w14:schemeClr w14:val="tx1"/>
            </w14:solidFill>
          </w14:textFill>
        </w:rPr>
        <w:t>、P</w:t>
      </w:r>
      <w:r>
        <w:rPr>
          <w:rFonts w:ascii="宋体" w:hAnsi="宋体" w:eastAsia="宋体" w:cs="宋体"/>
          <w:color w:val="000000" w:themeColor="text1"/>
          <w:sz w:val="21"/>
          <w:szCs w:val="21"/>
          <w14:textFill>
            <w14:solidFill>
              <w14:schemeClr w14:val="tx1"/>
            </w14:solidFill>
          </w14:textFill>
        </w:rPr>
        <w:t>ACS</w:t>
      </w:r>
      <w:r>
        <w:rPr>
          <w:rFonts w:hint="eastAsia" w:ascii="宋体" w:hAnsi="宋体" w:eastAsia="宋体" w:cs="宋体"/>
          <w:color w:val="000000" w:themeColor="text1"/>
          <w:sz w:val="21"/>
          <w:szCs w:val="21"/>
          <w14:textFill>
            <w14:solidFill>
              <w14:schemeClr w14:val="tx1"/>
            </w14:solidFill>
          </w14:textFill>
        </w:rPr>
        <w:t>等系统建立数据接口通讯。</w:t>
      </w:r>
    </w:p>
    <w:p>
      <w:pPr>
        <w:pStyle w:val="27"/>
        <w:numPr>
          <w:ilvl w:val="0"/>
          <w:numId w:val="2"/>
        </w:numPr>
        <w:ind w:firstLineChars="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设计原则</w:t>
      </w:r>
    </w:p>
    <w:p>
      <w:pPr>
        <w:pStyle w:val="37"/>
        <w:numPr>
          <w:ilvl w:val="0"/>
          <w:numId w:val="3"/>
        </w:numPr>
        <w:spacing w:line="360" w:lineRule="auto"/>
        <w:ind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系统的先进性</w:t>
      </w:r>
    </w:p>
    <w:p>
      <w:pPr>
        <w:pStyle w:val="37"/>
        <w:spacing w:line="360" w:lineRule="auto"/>
        <w:ind w:left="425" w:firstLine="0" w:firstLineChars="0"/>
        <w:contextualSpacing/>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从医院实际需求出发，对此次系统工程进行全面规划，采用现代化的理念和技术，对系统的设计做到合理化、科学化，达到低投资、高效益；建成系统先进、适应未来发展，并具有强大的发展潜力。</w:t>
      </w:r>
    </w:p>
    <w:p>
      <w:pPr>
        <w:pStyle w:val="37"/>
        <w:numPr>
          <w:ilvl w:val="0"/>
          <w:numId w:val="3"/>
        </w:numPr>
        <w:spacing w:line="360" w:lineRule="auto"/>
        <w:ind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系统的可靠性</w:t>
      </w:r>
    </w:p>
    <w:p>
      <w:pPr>
        <w:pStyle w:val="37"/>
        <w:spacing w:line="360" w:lineRule="auto"/>
        <w:ind w:left="425" w:firstLine="0" w:firstLineChars="0"/>
        <w:contextualSpacing/>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整个系统具有高度的安全性、可靠性和稳定性；在考虑技术先进性和开放性的同时，从系统结构、技术措施、设备性能、系统管理、厂商技术支持及维修能力等方面着手，确保系统运行的安全性、可靠性和稳定性。系统对网络、供电的突发故障应有良好的容灾设计。硬件设计上应采用嵌入式产品，提高可靠性。</w:t>
      </w:r>
    </w:p>
    <w:p>
      <w:pPr>
        <w:pStyle w:val="37"/>
        <w:numPr>
          <w:ilvl w:val="0"/>
          <w:numId w:val="3"/>
        </w:numPr>
        <w:spacing w:line="360" w:lineRule="auto"/>
        <w:ind w:firstLineChars="0"/>
        <w:contextualSpacing/>
        <w:rPr>
          <w:rFonts w:ascii="宋体" w:hAnsi="宋体" w:eastAsia="宋体" w:cs="宋体"/>
          <w:color w:val="000000" w:themeColor="text1"/>
          <w:sz w:val="21"/>
          <w:szCs w:val="21"/>
          <w14:textFill>
            <w14:solidFill>
              <w14:schemeClr w14:val="tx1"/>
            </w14:solidFill>
          </w14:textFill>
        </w:rPr>
      </w:pPr>
      <w:bookmarkStart w:id="4" w:name="_Hlk53644136"/>
      <w:r>
        <w:rPr>
          <w:rFonts w:hint="eastAsia" w:ascii="宋体" w:hAnsi="宋体" w:eastAsia="宋体" w:cs="宋体"/>
          <w:color w:val="000000" w:themeColor="text1"/>
          <w:sz w:val="21"/>
          <w:szCs w:val="21"/>
          <w14:textFill>
            <w14:solidFill>
              <w14:schemeClr w14:val="tx1"/>
            </w14:solidFill>
          </w14:textFill>
        </w:rPr>
        <w:t>系统的应用性</w:t>
      </w:r>
    </w:p>
    <w:bookmarkEnd w:id="4"/>
    <w:p>
      <w:pPr>
        <w:pStyle w:val="37"/>
        <w:spacing w:line="360" w:lineRule="auto"/>
        <w:ind w:left="845" w:firstLine="0"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此次系统的设计完全考虑到医院的实际要求。建成后的系统会达到各种使用要求，并会为医院的管理带来便利，提高效率，带来明显的经济和社会效益。</w:t>
      </w:r>
    </w:p>
    <w:p>
      <w:pPr>
        <w:pStyle w:val="37"/>
        <w:numPr>
          <w:ilvl w:val="0"/>
          <w:numId w:val="3"/>
        </w:numPr>
        <w:spacing w:line="360" w:lineRule="auto"/>
        <w:ind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系统智能化</w:t>
      </w:r>
    </w:p>
    <w:p>
      <w:pPr>
        <w:pStyle w:val="37"/>
        <w:spacing w:line="360" w:lineRule="auto"/>
        <w:ind w:left="845" w:firstLine="0"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整个系统以管理中心为核心，采用网络式管理，实现与所有网络及信息系统的无缝接入，充分体现系统的智能化。</w:t>
      </w:r>
    </w:p>
    <w:p>
      <w:pPr>
        <w:pStyle w:val="37"/>
        <w:numPr>
          <w:ilvl w:val="0"/>
          <w:numId w:val="3"/>
        </w:numPr>
        <w:spacing w:line="360" w:lineRule="auto"/>
        <w:ind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一体化及模块化</w:t>
      </w:r>
    </w:p>
    <w:p>
      <w:pPr>
        <w:pStyle w:val="37"/>
        <w:spacing w:line="360" w:lineRule="auto"/>
        <w:ind w:left="845" w:firstLine="0"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整个系统中的设备均为模块化设计，关键设备则采用一体化设计，系统的结构上也遵循这一原则，这样使得系统层次分明，符合系统的可扩展性和国家标准工艺流程，便于使用、维护及系统扩展。</w:t>
      </w:r>
    </w:p>
    <w:p>
      <w:pPr>
        <w:pStyle w:val="37"/>
        <w:numPr>
          <w:ilvl w:val="0"/>
          <w:numId w:val="3"/>
        </w:numPr>
        <w:spacing w:line="360" w:lineRule="auto"/>
        <w:ind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系统具有良好的扩展性及可维护性</w:t>
      </w:r>
    </w:p>
    <w:p>
      <w:pPr>
        <w:pStyle w:val="37"/>
        <w:spacing w:line="360" w:lineRule="auto"/>
        <w:ind w:left="845" w:firstLine="0"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设计后的系统应可以根据院方要求，对规模的扩展，关键点位的终端部署及变更均可平滑支持；设计的系统选用终端采用一体化及模块化设计，方便今后的运营维护。</w:t>
      </w:r>
    </w:p>
    <w:p>
      <w:pPr>
        <w:pStyle w:val="37"/>
        <w:numPr>
          <w:ilvl w:val="0"/>
          <w:numId w:val="3"/>
        </w:numPr>
        <w:spacing w:line="360" w:lineRule="auto"/>
        <w:ind w:firstLineChars="0"/>
        <w:contextualSpacing/>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低碳环保设计</w:t>
      </w:r>
    </w:p>
    <w:p>
      <w:pPr>
        <w:pStyle w:val="37"/>
        <w:spacing w:line="360" w:lineRule="auto"/>
        <w:ind w:left="845" w:firstLine="0" w:firstLineChars="0"/>
        <w:contextualSpacing/>
        <w:rPr>
          <w:rFonts w:ascii="宋体" w:hAnsi="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为最大限度降低运维成本，符合设备对环境环保的要求，设计应充分考虑设备的低功耗选型，同时也提高了系统的可靠性。</w:t>
      </w:r>
    </w:p>
    <w:p>
      <w:pPr>
        <w:pStyle w:val="2"/>
      </w:pPr>
      <w:bookmarkStart w:id="5" w:name="_Toc53656657"/>
      <w:r>
        <w:rPr>
          <w:rFonts w:hint="eastAsia"/>
        </w:rPr>
        <w:t>项目建设要求</w:t>
      </w:r>
      <w:bookmarkEnd w:id="5"/>
    </w:p>
    <w:p>
      <w:pPr>
        <w:pStyle w:val="5"/>
      </w:pPr>
      <w:bookmarkStart w:id="6" w:name="_Toc53656658"/>
      <w:r>
        <w:rPr>
          <w:rFonts w:hint="eastAsia"/>
        </w:rPr>
        <w:t>总体要求</w:t>
      </w:r>
      <w:bookmarkEnd w:id="6"/>
    </w:p>
    <w:p>
      <w:pPr>
        <w:widowControl/>
        <w:numPr>
          <w:ilvl w:val="0"/>
          <w:numId w:val="4"/>
        </w:numPr>
        <w:spacing w:line="360" w:lineRule="auto"/>
        <w:ind w:firstLine="420" w:firstLineChars="200"/>
        <w:contextualSpacing/>
        <w:jc w:val="left"/>
        <w:rPr>
          <w:rFonts w:ascii="宋体" w:hAnsi="宋体" w:eastAsia="宋体" w:cs="仿宋"/>
          <w:sz w:val="21"/>
          <w:szCs w:val="21"/>
        </w:rPr>
      </w:pPr>
      <w:r>
        <w:rPr>
          <w:rFonts w:hint="eastAsia" w:ascii="宋体" w:hAnsi="宋体" w:eastAsia="宋体" w:cs="仿宋"/>
          <w:sz w:val="21"/>
          <w:szCs w:val="21"/>
        </w:rPr>
        <w:t>具有联网和远程控制功能，支持跨路由控制，对终端可以远程管理和维护。支持局域网进入管理端和播放端，系统采用B/S架构</w:t>
      </w:r>
    </w:p>
    <w:p>
      <w:pPr>
        <w:widowControl/>
        <w:numPr>
          <w:ilvl w:val="0"/>
          <w:numId w:val="4"/>
        </w:numPr>
        <w:spacing w:line="360" w:lineRule="auto"/>
        <w:ind w:firstLine="422" w:firstLineChars="200"/>
        <w:contextualSpacing/>
        <w:jc w:val="left"/>
        <w:rPr>
          <w:rFonts w:ascii="宋体" w:hAnsi="宋体" w:eastAsia="宋体" w:cs="仿宋"/>
          <w:sz w:val="21"/>
          <w:szCs w:val="21"/>
        </w:rPr>
      </w:pPr>
      <w:r>
        <w:rPr>
          <w:rFonts w:hint="eastAsia" w:ascii="宋体" w:hAnsi="宋体" w:eastAsia="宋体" w:cs="仿宋"/>
          <w:b/>
          <w:sz w:val="21"/>
          <w:szCs w:val="21"/>
        </w:rPr>
        <w:t>★</w:t>
      </w:r>
      <w:r>
        <w:rPr>
          <w:rFonts w:hint="eastAsia" w:ascii="宋体" w:hAnsi="宋体" w:eastAsia="宋体" w:cs="仿宋"/>
          <w:sz w:val="21"/>
          <w:szCs w:val="21"/>
        </w:rPr>
        <w:t xml:space="preserve">在同一平台下实现排队叫号、信息发布、自助导诊等功能，各个功能模块和统一管理，也可以独立运行； </w:t>
      </w:r>
    </w:p>
    <w:p>
      <w:pPr>
        <w:widowControl/>
        <w:numPr>
          <w:ilvl w:val="0"/>
          <w:numId w:val="4"/>
        </w:numPr>
        <w:spacing w:line="360" w:lineRule="auto"/>
        <w:ind w:firstLine="422" w:firstLineChars="200"/>
        <w:contextualSpacing/>
        <w:jc w:val="left"/>
        <w:rPr>
          <w:rFonts w:ascii="宋体" w:hAnsi="宋体" w:eastAsia="宋体" w:cs="仿宋"/>
          <w:sz w:val="21"/>
          <w:szCs w:val="21"/>
        </w:rPr>
      </w:pPr>
      <w:r>
        <w:rPr>
          <w:rFonts w:hint="eastAsia" w:ascii="宋体" w:hAnsi="宋体" w:eastAsia="宋体" w:cs="仿宋"/>
          <w:b/>
          <w:sz w:val="21"/>
          <w:szCs w:val="21"/>
        </w:rPr>
        <w:t>★</w:t>
      </w:r>
      <w:r>
        <w:rPr>
          <w:rFonts w:hint="eastAsia" w:ascii="宋体" w:hAnsi="宋体" w:eastAsia="宋体" w:cs="仿宋"/>
          <w:sz w:val="21"/>
          <w:szCs w:val="21"/>
        </w:rPr>
        <w:t xml:space="preserve">系统应与HIS、PACS、LIS等系统进行数据交互，支持各个系统的数据调用； </w:t>
      </w:r>
    </w:p>
    <w:p>
      <w:pPr>
        <w:widowControl/>
        <w:numPr>
          <w:ilvl w:val="0"/>
          <w:numId w:val="4"/>
        </w:numPr>
        <w:spacing w:line="360" w:lineRule="auto"/>
        <w:ind w:firstLine="420" w:firstLineChars="200"/>
        <w:contextualSpacing/>
        <w:jc w:val="left"/>
        <w:rPr>
          <w:rFonts w:ascii="宋体" w:hAnsi="宋体" w:eastAsia="宋体" w:cs="仿宋"/>
          <w:sz w:val="21"/>
          <w:szCs w:val="21"/>
        </w:rPr>
      </w:pPr>
      <w:r>
        <w:rPr>
          <w:rFonts w:hint="eastAsia" w:ascii="宋体" w:hAnsi="宋体" w:eastAsia="宋体" w:cs="仿宋"/>
          <w:sz w:val="21"/>
          <w:szCs w:val="21"/>
        </w:rPr>
        <w:t>系统软件可将视频、音频、图片、文字等多媒体素材发送到各显示屏上，实现各种素材的同屏、混合播放；</w:t>
      </w:r>
    </w:p>
    <w:p>
      <w:pPr>
        <w:widowControl/>
        <w:numPr>
          <w:ilvl w:val="0"/>
          <w:numId w:val="4"/>
        </w:numPr>
        <w:spacing w:line="360" w:lineRule="auto"/>
        <w:ind w:firstLine="420" w:firstLineChars="200"/>
        <w:contextualSpacing/>
        <w:jc w:val="left"/>
        <w:rPr>
          <w:rFonts w:ascii="宋体" w:hAnsi="宋体" w:eastAsia="宋体" w:cs="仿宋"/>
          <w:sz w:val="21"/>
          <w:szCs w:val="21"/>
        </w:rPr>
      </w:pPr>
      <w:r>
        <w:rPr>
          <w:rFonts w:hint="eastAsia" w:ascii="宋体" w:hAnsi="宋体" w:eastAsia="宋体" w:cs="仿宋"/>
          <w:sz w:val="21"/>
          <w:szCs w:val="21"/>
        </w:rPr>
        <w:t>系统内所有终端需具备多区域差异化定时多媒体内容播放功能，如午休时间，系统可自动切换到信息发布功能，叫号屏可自动播放电视节目、健康教育、医院公告等内容，可播放医院自己的宣教片。</w:t>
      </w:r>
    </w:p>
    <w:p>
      <w:pPr>
        <w:widowControl/>
        <w:numPr>
          <w:ilvl w:val="0"/>
          <w:numId w:val="4"/>
        </w:numPr>
        <w:spacing w:line="360" w:lineRule="auto"/>
        <w:ind w:firstLine="420" w:firstLineChars="200"/>
        <w:contextualSpacing/>
        <w:jc w:val="left"/>
        <w:rPr>
          <w:rFonts w:ascii="宋体" w:hAnsi="宋体" w:eastAsia="宋体" w:cs="仿宋"/>
          <w:sz w:val="21"/>
          <w:szCs w:val="21"/>
        </w:rPr>
      </w:pPr>
      <w:r>
        <w:rPr>
          <w:rFonts w:hint="eastAsia" w:ascii="宋体" w:hAnsi="宋体" w:eastAsia="宋体" w:cs="仿宋"/>
          <w:sz w:val="21"/>
          <w:szCs w:val="21"/>
        </w:rPr>
        <w:t>★诊室门口屏应具备智能显示功能，如诊室出诊医生为多人时，可根据本诊室医生端登入的医生数量，自动在诊室门口叫号屏显示对应的医师信息，无需人工干预进行诊室门口屏界面调整。各个诊区的叫号管理不分割，医师登陆任意工作站即可进行叫号。</w:t>
      </w:r>
    </w:p>
    <w:p>
      <w:pPr>
        <w:widowControl/>
        <w:numPr>
          <w:ilvl w:val="0"/>
          <w:numId w:val="4"/>
        </w:numPr>
        <w:spacing w:line="360" w:lineRule="auto"/>
        <w:ind w:firstLine="420" w:firstLineChars="200"/>
        <w:contextualSpacing/>
        <w:jc w:val="left"/>
        <w:rPr>
          <w:rFonts w:ascii="宋体" w:hAnsi="宋体" w:eastAsia="宋体" w:cs="仿宋"/>
          <w:sz w:val="21"/>
          <w:szCs w:val="21"/>
        </w:rPr>
      </w:pPr>
      <w:r>
        <w:rPr>
          <w:rFonts w:hint="eastAsia" w:ascii="宋体" w:hAnsi="宋体" w:eastAsia="宋体" w:cs="仿宋"/>
          <w:sz w:val="21"/>
          <w:szCs w:val="21"/>
        </w:rPr>
        <w:t>★需实现公共区域的患者健康教育视频播放功能。</w:t>
      </w:r>
    </w:p>
    <w:p>
      <w:pPr>
        <w:widowControl/>
        <w:numPr>
          <w:ilvl w:val="0"/>
          <w:numId w:val="4"/>
        </w:numPr>
        <w:spacing w:line="360" w:lineRule="auto"/>
        <w:ind w:firstLine="420" w:firstLineChars="200"/>
        <w:contextualSpacing/>
        <w:jc w:val="left"/>
        <w:rPr>
          <w:rFonts w:ascii="宋体" w:hAnsi="宋体" w:eastAsia="宋体" w:cs="仿宋"/>
          <w:sz w:val="21"/>
          <w:szCs w:val="21"/>
        </w:rPr>
      </w:pPr>
      <w:r>
        <w:rPr>
          <w:rFonts w:hint="eastAsia" w:ascii="宋体" w:hAnsi="宋体" w:eastAsia="宋体" w:cs="仿宋"/>
          <w:sz w:val="21"/>
          <w:szCs w:val="21"/>
        </w:rPr>
        <w:t>系统配套的显示设备必须采用液晶显示器与网络播放设备一体化设计，要求安装实施简单，维护方便；系统配套的显示设备需采用网络播控终端与显示屏一体化的工业级设计，所有终端以网络进行连接，系统采用Android系统，终端设备具备一键恢复功能以提高系统稳定性。</w:t>
      </w:r>
    </w:p>
    <w:p>
      <w:pPr>
        <w:widowControl/>
        <w:numPr>
          <w:ilvl w:val="0"/>
          <w:numId w:val="4"/>
        </w:numPr>
        <w:spacing w:line="360" w:lineRule="auto"/>
        <w:ind w:firstLine="420" w:firstLineChars="200"/>
        <w:contextualSpacing/>
        <w:jc w:val="left"/>
        <w:rPr>
          <w:rFonts w:ascii="宋体" w:hAnsi="宋体" w:eastAsia="宋体" w:cs="仿宋"/>
          <w:sz w:val="21"/>
          <w:szCs w:val="21"/>
        </w:rPr>
      </w:pPr>
      <w:r>
        <w:rPr>
          <w:rFonts w:hint="eastAsia" w:ascii="宋体" w:hAnsi="宋体" w:eastAsia="宋体" w:cs="仿宋"/>
          <w:sz w:val="21"/>
          <w:szCs w:val="21"/>
        </w:rPr>
        <w:t>★系统选用的主要硬件显示设备需具有国家强制性产品CCC认证证书。</w:t>
      </w:r>
    </w:p>
    <w:p>
      <w:pPr>
        <w:widowControl/>
        <w:numPr>
          <w:ilvl w:val="0"/>
          <w:numId w:val="4"/>
        </w:numPr>
        <w:spacing w:line="360" w:lineRule="auto"/>
        <w:ind w:firstLine="420" w:firstLineChars="200"/>
        <w:contextualSpacing/>
        <w:jc w:val="left"/>
        <w:rPr>
          <w:rFonts w:ascii="宋体" w:hAnsi="宋体" w:eastAsia="宋体" w:cs="仿宋"/>
          <w:sz w:val="21"/>
          <w:szCs w:val="21"/>
        </w:rPr>
      </w:pPr>
      <w:r>
        <w:rPr>
          <w:rFonts w:hint="eastAsia" w:ascii="宋体" w:hAnsi="宋体" w:eastAsia="宋体" w:cs="仿宋"/>
          <w:sz w:val="21"/>
          <w:szCs w:val="21"/>
        </w:rPr>
        <w:t>★系统具备计算机软件著作权登记证书。</w:t>
      </w:r>
    </w:p>
    <w:p>
      <w:pPr>
        <w:widowControl/>
        <w:numPr>
          <w:ilvl w:val="0"/>
          <w:numId w:val="4"/>
        </w:numPr>
        <w:spacing w:line="360" w:lineRule="auto"/>
        <w:ind w:firstLine="420" w:firstLineChars="200"/>
        <w:contextualSpacing/>
        <w:jc w:val="left"/>
        <w:rPr>
          <w:rFonts w:ascii="宋体" w:hAnsi="宋体" w:eastAsia="宋体" w:cs="仿宋"/>
          <w:sz w:val="21"/>
          <w:szCs w:val="21"/>
        </w:rPr>
      </w:pPr>
      <w:r>
        <w:rPr>
          <w:rFonts w:hint="eastAsia" w:ascii="宋体" w:hAnsi="宋体" w:eastAsia="宋体" w:cs="仿宋"/>
          <w:sz w:val="21"/>
          <w:szCs w:val="21"/>
          <w:lang w:val="en-US" w:eastAsia="zh-CN"/>
        </w:rPr>
        <w:t>符合电子病历5级、互联互通4甲、等保2.0的相关标准。</w:t>
      </w:r>
    </w:p>
    <w:p>
      <w:pPr>
        <w:pStyle w:val="5"/>
      </w:pPr>
      <w:bookmarkStart w:id="7" w:name="_Toc53656659"/>
      <w:bookmarkStart w:id="8" w:name="_Toc53656660"/>
      <w:r>
        <w:rPr>
          <w:rFonts w:hint="eastAsia"/>
        </w:rPr>
        <w:t>技术要求</w:t>
      </w:r>
      <w:bookmarkEnd w:id="7"/>
    </w:p>
    <w:p>
      <w:pPr>
        <w:widowControl/>
        <w:numPr>
          <w:ilvl w:val="0"/>
          <w:numId w:val="5"/>
        </w:numPr>
        <w:spacing w:line="360" w:lineRule="auto"/>
        <w:jc w:val="left"/>
        <w:rPr>
          <w:rFonts w:ascii="宋体" w:hAnsi="宋体" w:eastAsia="宋体"/>
          <w:sz w:val="21"/>
          <w:szCs w:val="21"/>
        </w:rPr>
      </w:pPr>
      <w:r>
        <w:rPr>
          <w:rFonts w:hint="eastAsia" w:ascii="宋体" w:hAnsi="宋体" w:eastAsia="宋体"/>
          <w:sz w:val="21"/>
          <w:szCs w:val="21"/>
        </w:rPr>
        <w:t>★系统操作在管理端进行，管理端可以是局域网上的任意多台计算机。</w:t>
      </w:r>
    </w:p>
    <w:p>
      <w:pPr>
        <w:widowControl/>
        <w:numPr>
          <w:ilvl w:val="0"/>
          <w:numId w:val="5"/>
        </w:numPr>
        <w:spacing w:line="360" w:lineRule="auto"/>
        <w:jc w:val="left"/>
        <w:rPr>
          <w:rFonts w:ascii="宋体" w:hAnsi="宋体" w:eastAsia="宋体"/>
          <w:sz w:val="21"/>
          <w:szCs w:val="21"/>
        </w:rPr>
      </w:pPr>
      <w:r>
        <w:rPr>
          <w:rFonts w:hint="eastAsia" w:ascii="宋体" w:hAnsi="宋体" w:eastAsia="宋体"/>
          <w:sz w:val="21"/>
          <w:szCs w:val="21"/>
        </w:rPr>
        <w:t>系统应能够与HIS、PACS、LIS等信息系统进行数据交互，支持按照序号或签到顺序自动生成排队队列。</w:t>
      </w:r>
    </w:p>
    <w:p>
      <w:pPr>
        <w:widowControl/>
        <w:numPr>
          <w:ilvl w:val="0"/>
          <w:numId w:val="5"/>
        </w:numPr>
        <w:spacing w:line="360" w:lineRule="auto"/>
        <w:jc w:val="left"/>
        <w:rPr>
          <w:rFonts w:ascii="宋体" w:hAnsi="宋体" w:eastAsia="宋体"/>
          <w:sz w:val="21"/>
          <w:szCs w:val="21"/>
        </w:rPr>
      </w:pPr>
      <w:r>
        <w:rPr>
          <w:rFonts w:hint="eastAsia" w:ascii="宋体" w:hAnsi="宋体" w:eastAsia="宋体"/>
          <w:sz w:val="21"/>
          <w:szCs w:val="21"/>
        </w:rPr>
        <w:t>支持手动维护医生信息，可上传医生照片、职称、业务擅长以及排班信息的自动同步和管理。</w:t>
      </w:r>
    </w:p>
    <w:p>
      <w:pPr>
        <w:widowControl/>
        <w:numPr>
          <w:ilvl w:val="0"/>
          <w:numId w:val="5"/>
        </w:numPr>
        <w:spacing w:line="360" w:lineRule="auto"/>
        <w:jc w:val="left"/>
        <w:rPr>
          <w:rFonts w:ascii="宋体" w:hAnsi="宋体" w:eastAsia="宋体"/>
          <w:sz w:val="21"/>
          <w:szCs w:val="21"/>
        </w:rPr>
      </w:pPr>
      <w:r>
        <w:rPr>
          <w:rFonts w:hint="eastAsia" w:ascii="宋体" w:hAnsi="宋体" w:eastAsia="宋体"/>
          <w:sz w:val="21"/>
          <w:szCs w:val="21"/>
        </w:rPr>
        <w:t>系统可根据各个科室的就诊流程，灵活配置叫号机制，适应各种队列排序方式、各种呼叫模式、各种显示样式、各种语音效果。</w:t>
      </w:r>
    </w:p>
    <w:p>
      <w:pPr>
        <w:widowControl/>
        <w:numPr>
          <w:ilvl w:val="0"/>
          <w:numId w:val="5"/>
        </w:numPr>
        <w:spacing w:line="360" w:lineRule="auto"/>
        <w:jc w:val="left"/>
        <w:rPr>
          <w:rFonts w:ascii="宋体" w:hAnsi="宋体" w:eastAsia="宋体"/>
          <w:sz w:val="21"/>
          <w:szCs w:val="21"/>
        </w:rPr>
      </w:pPr>
      <w:r>
        <w:rPr>
          <w:rFonts w:hint="eastAsia" w:ascii="宋体" w:hAnsi="宋体" w:eastAsia="宋体"/>
          <w:sz w:val="21"/>
          <w:szCs w:val="21"/>
        </w:rPr>
        <w:t>★患者隐私保护：患者姓名中的第二个字用“*”代替。</w:t>
      </w:r>
    </w:p>
    <w:p>
      <w:pPr>
        <w:widowControl/>
        <w:numPr>
          <w:ilvl w:val="0"/>
          <w:numId w:val="5"/>
        </w:numPr>
        <w:spacing w:line="360" w:lineRule="auto"/>
        <w:jc w:val="left"/>
        <w:rPr>
          <w:rFonts w:ascii="仿宋" w:hAnsi="仿宋" w:eastAsia="仿宋" w:cs="Times New Roman"/>
          <w:kern w:val="0"/>
          <w:sz w:val="28"/>
          <w:szCs w:val="28"/>
        </w:rPr>
      </w:pPr>
      <w:r>
        <w:rPr>
          <w:rFonts w:hint="eastAsia" w:ascii="宋体" w:hAnsi="宋体" w:eastAsia="宋体"/>
          <w:sz w:val="21"/>
          <w:szCs w:val="21"/>
        </w:rPr>
        <w:t>要求候诊区域分诊屏显示各自对应的叫号信息，并实现对应的叫号语音同步播报；</w:t>
      </w:r>
      <w:r>
        <w:rPr>
          <w:rFonts w:hint="eastAsia" w:ascii="仿宋" w:hAnsi="仿宋" w:eastAsia="仿宋" w:cs="Times New Roman"/>
          <w:kern w:val="0"/>
          <w:sz w:val="28"/>
          <w:szCs w:val="28"/>
        </w:rPr>
        <w:t xml:space="preserve"> </w:t>
      </w:r>
    </w:p>
    <w:p>
      <w:pPr>
        <w:widowControl/>
        <w:numPr>
          <w:ilvl w:val="0"/>
          <w:numId w:val="5"/>
        </w:numPr>
        <w:spacing w:line="360" w:lineRule="auto"/>
        <w:jc w:val="left"/>
        <w:rPr>
          <w:rFonts w:ascii="宋体" w:hAnsi="宋体" w:eastAsia="宋体"/>
          <w:sz w:val="21"/>
          <w:szCs w:val="21"/>
        </w:rPr>
      </w:pPr>
      <w:r>
        <w:rPr>
          <w:rFonts w:hint="eastAsia" w:ascii="宋体" w:hAnsi="宋体" w:eastAsia="宋体"/>
          <w:sz w:val="21"/>
          <w:szCs w:val="21"/>
        </w:rPr>
        <w:t>系统须支持全自动形成队列、人工报到形成队列（患者自助报到、护士操作报到）以及自动及人工混合报到三种模式；</w:t>
      </w:r>
    </w:p>
    <w:p>
      <w:pPr>
        <w:widowControl/>
        <w:numPr>
          <w:ilvl w:val="0"/>
          <w:numId w:val="5"/>
        </w:numPr>
        <w:spacing w:line="360" w:lineRule="auto"/>
        <w:jc w:val="left"/>
        <w:rPr>
          <w:rFonts w:ascii="宋体" w:hAnsi="宋体" w:eastAsia="宋体"/>
          <w:sz w:val="21"/>
          <w:szCs w:val="21"/>
        </w:rPr>
      </w:pPr>
      <w:r>
        <w:rPr>
          <w:rFonts w:hint="eastAsia" w:ascii="宋体" w:hAnsi="宋体" w:eastAsia="宋体"/>
          <w:sz w:val="21"/>
          <w:szCs w:val="21"/>
        </w:rPr>
        <w:t>停诊或休息时，系统可自动插播宣教信息。显示屏可实现科室专家介绍、就医流程说明、宣教节目的播放；</w:t>
      </w:r>
    </w:p>
    <w:p>
      <w:pPr>
        <w:widowControl/>
        <w:numPr>
          <w:ilvl w:val="0"/>
          <w:numId w:val="5"/>
        </w:numPr>
        <w:spacing w:line="360" w:lineRule="auto"/>
        <w:jc w:val="left"/>
        <w:rPr>
          <w:rFonts w:ascii="宋体" w:hAnsi="宋体" w:eastAsia="宋体"/>
          <w:sz w:val="21"/>
          <w:szCs w:val="21"/>
        </w:rPr>
      </w:pPr>
      <w:r>
        <w:rPr>
          <w:rFonts w:hint="eastAsia" w:ascii="宋体" w:hAnsi="宋体" w:eastAsia="宋体"/>
          <w:sz w:val="21"/>
          <w:szCs w:val="21"/>
        </w:rPr>
        <w:t>护士站电脑安装护士工作站管理软件，能够实现在其管控区域内对患者的就诊状态检索、排队队列管理以及预约等操作；</w:t>
      </w:r>
    </w:p>
    <w:p>
      <w:pPr>
        <w:widowControl/>
        <w:numPr>
          <w:ilvl w:val="0"/>
          <w:numId w:val="5"/>
        </w:numPr>
        <w:spacing w:line="360" w:lineRule="auto"/>
        <w:jc w:val="left"/>
        <w:rPr>
          <w:rFonts w:ascii="宋体" w:hAnsi="宋体" w:eastAsia="宋体"/>
          <w:sz w:val="21"/>
          <w:szCs w:val="21"/>
        </w:rPr>
      </w:pPr>
      <w:r>
        <w:rPr>
          <w:rFonts w:hint="eastAsia" w:ascii="宋体" w:hAnsi="宋体" w:eastAsia="宋体"/>
          <w:sz w:val="21"/>
          <w:szCs w:val="21"/>
        </w:rPr>
        <w:t>医生电脑安装医生工作站管理软件，能够根据需求实现顺序叫号或选择叫号功能；</w:t>
      </w:r>
    </w:p>
    <w:p>
      <w:pPr>
        <w:pStyle w:val="5"/>
      </w:pPr>
      <w:r>
        <w:rPr>
          <w:rFonts w:hint="eastAsia"/>
        </w:rPr>
        <w:t>其他要求</w:t>
      </w:r>
      <w:bookmarkEnd w:id="8"/>
    </w:p>
    <w:p>
      <w:pPr>
        <w:pStyle w:val="3"/>
        <w:ind w:firstLine="420"/>
        <w:rPr>
          <w:rFonts w:eastAsia="宋体"/>
          <w:sz w:val="21"/>
          <w:szCs w:val="21"/>
        </w:rPr>
      </w:pPr>
      <w:r>
        <w:rPr>
          <w:rFonts w:hint="eastAsia" w:eastAsia="宋体"/>
          <w:sz w:val="21"/>
          <w:szCs w:val="21"/>
        </w:rPr>
        <w:t>工期：</w:t>
      </w:r>
      <w:r>
        <w:rPr>
          <w:rFonts w:eastAsia="宋体"/>
          <w:sz w:val="21"/>
          <w:szCs w:val="21"/>
        </w:rPr>
        <w:t>30</w:t>
      </w:r>
      <w:r>
        <w:rPr>
          <w:rFonts w:hint="eastAsia" w:eastAsia="宋体"/>
          <w:sz w:val="21"/>
          <w:szCs w:val="21"/>
        </w:rPr>
        <w:t>个工作日</w:t>
      </w:r>
    </w:p>
    <w:p>
      <w:pPr>
        <w:pStyle w:val="3"/>
        <w:ind w:firstLine="420"/>
        <w:rPr>
          <w:rFonts w:eastAsia="宋体"/>
          <w:sz w:val="21"/>
          <w:szCs w:val="21"/>
        </w:rPr>
      </w:pPr>
      <w:r>
        <w:rPr>
          <w:rFonts w:hint="eastAsia" w:eastAsia="宋体"/>
          <w:sz w:val="21"/>
          <w:szCs w:val="21"/>
        </w:rPr>
        <w:t>质保期：一年</w:t>
      </w:r>
    </w:p>
    <w:p>
      <w:pPr>
        <w:pStyle w:val="3"/>
        <w:ind w:firstLine="420"/>
        <w:rPr>
          <w:rFonts w:eastAsia="宋体"/>
          <w:sz w:val="21"/>
          <w:szCs w:val="21"/>
        </w:rPr>
      </w:pPr>
      <w:r>
        <w:rPr>
          <w:rFonts w:hint="eastAsia" w:eastAsia="宋体"/>
          <w:sz w:val="21"/>
          <w:szCs w:val="21"/>
        </w:rPr>
        <w:t>售后服务：1小时内响应</w:t>
      </w:r>
    </w:p>
    <w:p>
      <w:pPr>
        <w:pStyle w:val="3"/>
        <w:ind w:firstLine="420"/>
        <w:rPr>
          <w:rFonts w:eastAsia="宋体"/>
          <w:sz w:val="21"/>
          <w:szCs w:val="21"/>
        </w:rPr>
      </w:pPr>
      <w:r>
        <w:rPr>
          <w:rFonts w:hint="eastAsia" w:eastAsia="宋体"/>
          <w:sz w:val="21"/>
          <w:szCs w:val="21"/>
        </w:rPr>
        <w:t>付款方式：实施人员进场服务器搭建完成付款至合同总额的</w:t>
      </w:r>
      <w:r>
        <w:rPr>
          <w:rFonts w:eastAsia="宋体"/>
          <w:sz w:val="21"/>
          <w:szCs w:val="21"/>
        </w:rPr>
        <w:t>3</w:t>
      </w:r>
      <w:r>
        <w:rPr>
          <w:rFonts w:hint="eastAsia" w:eastAsia="宋体"/>
          <w:sz w:val="21"/>
          <w:szCs w:val="21"/>
        </w:rPr>
        <w:t>0%；根据进度通过系统功能验收，支付至该系统的60%；质保期结束后付款1</w:t>
      </w:r>
      <w:r>
        <w:rPr>
          <w:rFonts w:eastAsia="宋体"/>
          <w:sz w:val="21"/>
          <w:szCs w:val="21"/>
        </w:rPr>
        <w:t>0</w:t>
      </w:r>
      <w:r>
        <w:rPr>
          <w:rFonts w:hint="eastAsia" w:eastAsia="宋体"/>
          <w:sz w:val="21"/>
          <w:szCs w:val="21"/>
        </w:rPr>
        <w:t>%。</w:t>
      </w:r>
    </w:p>
    <w:p>
      <w:pPr>
        <w:pStyle w:val="2"/>
        <w:rPr>
          <w:rFonts w:asciiTheme="minorEastAsia" w:hAnsiTheme="minorEastAsia"/>
        </w:rPr>
      </w:pPr>
      <w:bookmarkStart w:id="9" w:name="_Toc53656661"/>
      <w:r>
        <w:rPr>
          <w:rFonts w:hint="eastAsia" w:asciiTheme="minorEastAsia" w:hAnsiTheme="minorEastAsia"/>
        </w:rPr>
        <w:t>建设内容</w:t>
      </w:r>
      <w:bookmarkEnd w:id="9"/>
    </w:p>
    <w:p>
      <w:pPr>
        <w:pStyle w:val="5"/>
      </w:pPr>
      <w:bookmarkStart w:id="10" w:name="_Toc53656662"/>
      <w:r>
        <w:rPr>
          <w:rFonts w:hint="eastAsia"/>
        </w:rPr>
        <w:t>项目需求清单</w:t>
      </w:r>
      <w:bookmarkEnd w:id="10"/>
    </w:p>
    <w:tbl>
      <w:tblPr>
        <w:tblStyle w:val="21"/>
        <w:tblW w:w="92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17"/>
        <w:gridCol w:w="899"/>
        <w:gridCol w:w="535"/>
        <w:gridCol w:w="4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vAlign w:val="center"/>
          </w:tcPr>
          <w:p>
            <w:pPr>
              <w:spacing w:line="360" w:lineRule="auto"/>
              <w:jc w:val="center"/>
              <w:rPr>
                <w:b/>
                <w:bCs/>
                <w:color w:val="000000"/>
                <w:sz w:val="22"/>
                <w:highlight w:val="none"/>
              </w:rPr>
            </w:pPr>
            <w:bookmarkStart w:id="68" w:name="_GoBack"/>
            <w:r>
              <w:rPr>
                <w:rFonts w:hint="eastAsia"/>
                <w:b/>
                <w:bCs/>
                <w:color w:val="000000"/>
                <w:sz w:val="22"/>
                <w:highlight w:val="none"/>
              </w:rPr>
              <w:t>序号</w:t>
            </w:r>
          </w:p>
        </w:tc>
        <w:tc>
          <w:tcPr>
            <w:tcW w:w="2717" w:type="dxa"/>
            <w:vAlign w:val="center"/>
          </w:tcPr>
          <w:p>
            <w:pPr>
              <w:spacing w:line="360" w:lineRule="auto"/>
              <w:jc w:val="center"/>
              <w:rPr>
                <w:b/>
                <w:bCs/>
                <w:color w:val="000000"/>
                <w:sz w:val="22"/>
                <w:highlight w:val="none"/>
              </w:rPr>
            </w:pPr>
            <w:r>
              <w:rPr>
                <w:rFonts w:hint="eastAsia"/>
                <w:b/>
                <w:bCs/>
                <w:color w:val="000000"/>
                <w:sz w:val="22"/>
                <w:highlight w:val="none"/>
              </w:rPr>
              <w:t>产品名称</w:t>
            </w:r>
          </w:p>
        </w:tc>
        <w:tc>
          <w:tcPr>
            <w:tcW w:w="899" w:type="dxa"/>
            <w:vAlign w:val="center"/>
          </w:tcPr>
          <w:p>
            <w:pPr>
              <w:spacing w:line="360" w:lineRule="auto"/>
              <w:jc w:val="center"/>
              <w:rPr>
                <w:b/>
                <w:bCs/>
                <w:color w:val="000000"/>
                <w:sz w:val="22"/>
                <w:highlight w:val="none"/>
              </w:rPr>
            </w:pPr>
            <w:r>
              <w:rPr>
                <w:rFonts w:hint="eastAsia"/>
                <w:b/>
                <w:bCs/>
                <w:color w:val="000000"/>
                <w:sz w:val="22"/>
                <w:highlight w:val="none"/>
              </w:rPr>
              <w:t>数量</w:t>
            </w:r>
          </w:p>
        </w:tc>
        <w:tc>
          <w:tcPr>
            <w:tcW w:w="535" w:type="dxa"/>
            <w:vAlign w:val="center"/>
          </w:tcPr>
          <w:p>
            <w:pPr>
              <w:spacing w:line="360" w:lineRule="auto"/>
              <w:jc w:val="center"/>
              <w:rPr>
                <w:b/>
                <w:bCs/>
                <w:color w:val="000000"/>
                <w:sz w:val="22"/>
                <w:highlight w:val="none"/>
              </w:rPr>
            </w:pPr>
            <w:r>
              <w:rPr>
                <w:rFonts w:hint="eastAsia"/>
                <w:b/>
                <w:bCs/>
                <w:color w:val="000000"/>
                <w:sz w:val="22"/>
                <w:highlight w:val="none"/>
              </w:rPr>
              <w:t>单位</w:t>
            </w:r>
          </w:p>
        </w:tc>
        <w:tc>
          <w:tcPr>
            <w:tcW w:w="4349" w:type="dxa"/>
            <w:vAlign w:val="center"/>
          </w:tcPr>
          <w:p>
            <w:pPr>
              <w:spacing w:line="360" w:lineRule="auto"/>
              <w:jc w:val="center"/>
              <w:rPr>
                <w:b/>
                <w:bCs/>
                <w:color w:val="000000"/>
                <w:sz w:val="22"/>
                <w:highlight w:val="none"/>
              </w:rPr>
            </w:pPr>
            <w:r>
              <w:rPr>
                <w:rFonts w:hint="eastAsia"/>
                <w:b/>
                <w:bCs/>
                <w:color w:val="000000"/>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209" w:type="dxa"/>
            <w:gridSpan w:val="5"/>
            <w:vAlign w:val="center"/>
          </w:tcPr>
          <w:p>
            <w:pPr>
              <w:spacing w:line="360" w:lineRule="auto"/>
              <w:rPr>
                <w:b/>
                <w:bCs/>
                <w:color w:val="000000"/>
                <w:sz w:val="22"/>
                <w:highlight w:val="none"/>
              </w:rPr>
            </w:pPr>
            <w:r>
              <w:rPr>
                <w:rFonts w:hint="eastAsia"/>
                <w:color w:val="000000"/>
                <w:highlight w:val="none"/>
              </w:rPr>
              <w:t>医疗导引及多媒体信息发布系统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9" w:type="dxa"/>
            <w:vAlign w:val="center"/>
          </w:tcPr>
          <w:p>
            <w:pPr>
              <w:spacing w:line="360" w:lineRule="auto"/>
              <w:jc w:val="center"/>
              <w:rPr>
                <w:rFonts w:eastAsia="宋体"/>
                <w:color w:val="000000"/>
                <w:highlight w:val="none"/>
              </w:rPr>
            </w:pPr>
            <w:r>
              <w:rPr>
                <w:rFonts w:hint="eastAsia" w:eastAsia="宋体"/>
                <w:color w:val="000000"/>
                <w:highlight w:val="none"/>
              </w:rPr>
              <w:t>1</w:t>
            </w:r>
          </w:p>
        </w:tc>
        <w:tc>
          <w:tcPr>
            <w:tcW w:w="2717" w:type="dxa"/>
          </w:tcPr>
          <w:p>
            <w:pPr>
              <w:spacing w:line="360" w:lineRule="auto"/>
              <w:rPr>
                <w:rFonts w:ascii="宋体" w:hAnsi="宋体" w:cs="宋体"/>
                <w:color w:val="000000"/>
                <w:szCs w:val="24"/>
                <w:highlight w:val="none"/>
              </w:rPr>
            </w:pPr>
            <w:r>
              <w:rPr>
                <w:rFonts w:hint="eastAsia"/>
                <w:highlight w:val="none"/>
              </w:rPr>
              <w:t>22</w:t>
            </w:r>
            <w:r>
              <w:rPr>
                <w:highlight w:val="none"/>
              </w:rPr>
              <w:t>英寸</w:t>
            </w:r>
            <w:r>
              <w:rPr>
                <w:rFonts w:hint="eastAsia"/>
                <w:highlight w:val="none"/>
              </w:rPr>
              <w:t>医疗分诊</w:t>
            </w:r>
            <w:r>
              <w:rPr>
                <w:highlight w:val="none"/>
              </w:rPr>
              <w:t>一体机</w:t>
            </w:r>
          </w:p>
        </w:tc>
        <w:tc>
          <w:tcPr>
            <w:tcW w:w="899" w:type="dxa"/>
          </w:tcPr>
          <w:p>
            <w:pPr>
              <w:spacing w:line="360" w:lineRule="auto"/>
              <w:jc w:val="center"/>
              <w:rPr>
                <w:rFonts w:ascii="宋体" w:hAnsi="宋体" w:cs="宋体"/>
                <w:color w:val="000000"/>
                <w:szCs w:val="24"/>
                <w:highlight w:val="none"/>
              </w:rPr>
            </w:pPr>
            <w:r>
              <w:rPr>
                <w:rFonts w:cs="宋体"/>
                <w:color w:val="000000"/>
                <w:szCs w:val="24"/>
                <w:highlight w:val="none"/>
              </w:rPr>
              <w:t>1</w:t>
            </w:r>
          </w:p>
        </w:tc>
        <w:tc>
          <w:tcPr>
            <w:tcW w:w="535" w:type="dxa"/>
            <w:vAlign w:val="center"/>
          </w:tcPr>
          <w:p>
            <w:pPr>
              <w:spacing w:line="360" w:lineRule="auto"/>
              <w:jc w:val="center"/>
              <w:rPr>
                <w:rFonts w:ascii="宋体" w:hAnsi="宋体" w:cs="宋体"/>
                <w:color w:val="000000"/>
                <w:szCs w:val="24"/>
                <w:highlight w:val="none"/>
              </w:rPr>
            </w:pPr>
            <w:r>
              <w:rPr>
                <w:rFonts w:hint="eastAsia"/>
                <w:color w:val="000000"/>
                <w:highlight w:val="none"/>
              </w:rPr>
              <w:t>台</w:t>
            </w:r>
          </w:p>
        </w:tc>
        <w:tc>
          <w:tcPr>
            <w:tcW w:w="4349" w:type="dxa"/>
            <w:vAlign w:val="center"/>
          </w:tcPr>
          <w:p>
            <w:pPr>
              <w:spacing w:line="360" w:lineRule="auto"/>
              <w:rPr>
                <w:color w:val="000000"/>
                <w:highlight w:val="none"/>
              </w:rPr>
            </w:pPr>
            <w:r>
              <w:rPr>
                <w:rFonts w:hint="eastAsia"/>
                <w:color w:val="000000"/>
                <w:highlight w:val="none"/>
              </w:rPr>
              <w:t>门诊慢性病科室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9" w:type="dxa"/>
            <w:vAlign w:val="center"/>
          </w:tcPr>
          <w:p>
            <w:pPr>
              <w:spacing w:line="360" w:lineRule="auto"/>
              <w:jc w:val="center"/>
              <w:rPr>
                <w:rFonts w:eastAsia="宋体"/>
                <w:color w:val="000000"/>
                <w:highlight w:val="none"/>
              </w:rPr>
            </w:pPr>
            <w:r>
              <w:rPr>
                <w:rFonts w:hint="eastAsia" w:eastAsia="宋体"/>
                <w:color w:val="000000"/>
                <w:highlight w:val="none"/>
              </w:rPr>
              <w:t>2</w:t>
            </w:r>
          </w:p>
        </w:tc>
        <w:tc>
          <w:tcPr>
            <w:tcW w:w="2717" w:type="dxa"/>
          </w:tcPr>
          <w:p>
            <w:pPr>
              <w:spacing w:line="360" w:lineRule="auto"/>
              <w:rPr>
                <w:rFonts w:ascii="宋体" w:hAnsi="宋体" w:cs="宋体"/>
                <w:color w:val="000000"/>
                <w:szCs w:val="24"/>
                <w:highlight w:val="none"/>
              </w:rPr>
            </w:pPr>
            <w:r>
              <w:rPr>
                <w:highlight w:val="none"/>
              </w:rPr>
              <w:t>32英寸</w:t>
            </w:r>
            <w:r>
              <w:rPr>
                <w:rFonts w:hint="eastAsia"/>
                <w:highlight w:val="none"/>
              </w:rPr>
              <w:t>医疗分诊</w:t>
            </w:r>
            <w:r>
              <w:rPr>
                <w:highlight w:val="none"/>
              </w:rPr>
              <w:t>一体机</w:t>
            </w:r>
          </w:p>
        </w:tc>
        <w:tc>
          <w:tcPr>
            <w:tcW w:w="899" w:type="dxa"/>
          </w:tcPr>
          <w:p>
            <w:pPr>
              <w:spacing w:line="360" w:lineRule="auto"/>
              <w:jc w:val="center"/>
              <w:rPr>
                <w:rFonts w:ascii="宋体" w:hAnsi="宋体" w:cs="宋体"/>
                <w:color w:val="000000"/>
                <w:szCs w:val="24"/>
                <w:highlight w:val="none"/>
              </w:rPr>
            </w:pPr>
            <w:r>
              <w:rPr>
                <w:rFonts w:hint="eastAsia" w:cs="宋体"/>
                <w:color w:val="000000"/>
                <w:szCs w:val="24"/>
                <w:highlight w:val="none"/>
              </w:rPr>
              <w:t>7</w:t>
            </w:r>
          </w:p>
        </w:tc>
        <w:tc>
          <w:tcPr>
            <w:tcW w:w="535" w:type="dxa"/>
            <w:vAlign w:val="center"/>
          </w:tcPr>
          <w:p>
            <w:pPr>
              <w:spacing w:line="360" w:lineRule="auto"/>
              <w:jc w:val="center"/>
              <w:rPr>
                <w:rFonts w:ascii="宋体" w:hAnsi="宋体" w:cs="宋体"/>
                <w:color w:val="000000"/>
                <w:szCs w:val="24"/>
                <w:highlight w:val="none"/>
              </w:rPr>
            </w:pPr>
            <w:r>
              <w:rPr>
                <w:rFonts w:hint="eastAsia"/>
                <w:color w:val="000000"/>
                <w:highlight w:val="none"/>
              </w:rPr>
              <w:t>台</w:t>
            </w:r>
          </w:p>
        </w:tc>
        <w:tc>
          <w:tcPr>
            <w:tcW w:w="4349" w:type="dxa"/>
            <w:vAlign w:val="center"/>
          </w:tcPr>
          <w:p>
            <w:pPr>
              <w:spacing w:line="360" w:lineRule="auto"/>
              <w:rPr>
                <w:color w:val="000000"/>
                <w:highlight w:val="none"/>
              </w:rPr>
            </w:pPr>
            <w:r>
              <w:rPr>
                <w:rFonts w:hint="eastAsia"/>
                <w:color w:val="000000"/>
                <w:highlight w:val="none"/>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9" w:type="dxa"/>
            <w:vAlign w:val="center"/>
          </w:tcPr>
          <w:p>
            <w:pPr>
              <w:spacing w:line="360" w:lineRule="auto"/>
              <w:jc w:val="center"/>
              <w:rPr>
                <w:rFonts w:eastAsia="宋体"/>
                <w:color w:val="000000"/>
                <w:highlight w:val="none"/>
              </w:rPr>
            </w:pPr>
            <w:r>
              <w:rPr>
                <w:rFonts w:hint="eastAsia" w:eastAsia="宋体"/>
                <w:color w:val="000000"/>
                <w:highlight w:val="none"/>
              </w:rPr>
              <w:t>3</w:t>
            </w:r>
          </w:p>
        </w:tc>
        <w:tc>
          <w:tcPr>
            <w:tcW w:w="2717" w:type="dxa"/>
          </w:tcPr>
          <w:p>
            <w:pPr>
              <w:spacing w:line="360" w:lineRule="auto"/>
              <w:rPr>
                <w:rFonts w:ascii="宋体" w:hAnsi="宋体" w:eastAsia="宋体" w:cs="宋体"/>
                <w:color w:val="000000"/>
                <w:szCs w:val="24"/>
                <w:highlight w:val="none"/>
              </w:rPr>
            </w:pPr>
            <w:r>
              <w:rPr>
                <w:rFonts w:hint="eastAsia"/>
                <w:highlight w:val="none"/>
              </w:rPr>
              <w:t>自助服务终端</w:t>
            </w:r>
          </w:p>
        </w:tc>
        <w:tc>
          <w:tcPr>
            <w:tcW w:w="899" w:type="dxa"/>
          </w:tcPr>
          <w:p>
            <w:pPr>
              <w:spacing w:line="360" w:lineRule="auto"/>
              <w:jc w:val="center"/>
              <w:rPr>
                <w:rFonts w:ascii="宋体" w:hAnsi="宋体" w:cs="宋体"/>
                <w:color w:val="000000"/>
                <w:szCs w:val="24"/>
                <w:highlight w:val="none"/>
              </w:rPr>
            </w:pPr>
            <w:r>
              <w:rPr>
                <w:rFonts w:cs="宋体"/>
                <w:color w:val="000000"/>
                <w:szCs w:val="24"/>
                <w:highlight w:val="none"/>
              </w:rPr>
              <w:t>4</w:t>
            </w:r>
          </w:p>
        </w:tc>
        <w:tc>
          <w:tcPr>
            <w:tcW w:w="535" w:type="dxa"/>
            <w:vAlign w:val="center"/>
          </w:tcPr>
          <w:p>
            <w:pPr>
              <w:spacing w:line="360" w:lineRule="auto"/>
              <w:jc w:val="center"/>
              <w:rPr>
                <w:rFonts w:ascii="宋体" w:hAnsi="宋体" w:cs="宋体"/>
                <w:color w:val="000000"/>
                <w:szCs w:val="24"/>
                <w:highlight w:val="none"/>
              </w:rPr>
            </w:pPr>
            <w:r>
              <w:rPr>
                <w:rFonts w:hint="eastAsia"/>
                <w:color w:val="000000"/>
                <w:highlight w:val="none"/>
              </w:rPr>
              <w:t>台</w:t>
            </w:r>
          </w:p>
        </w:tc>
        <w:tc>
          <w:tcPr>
            <w:tcW w:w="4349" w:type="dxa"/>
            <w:vAlign w:val="center"/>
          </w:tcPr>
          <w:p>
            <w:pPr>
              <w:spacing w:line="360" w:lineRule="auto"/>
              <w:rPr>
                <w:color w:val="000000"/>
                <w:highlight w:val="none"/>
              </w:rPr>
            </w:pPr>
            <w:r>
              <w:rPr>
                <w:rFonts w:hint="eastAsia"/>
                <w:color w:val="000000"/>
                <w:highlight w:val="none"/>
              </w:rPr>
              <w:t>检验科、公共区域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9" w:type="dxa"/>
            <w:vAlign w:val="center"/>
          </w:tcPr>
          <w:p>
            <w:pPr>
              <w:spacing w:line="360" w:lineRule="auto"/>
              <w:jc w:val="center"/>
              <w:rPr>
                <w:rFonts w:eastAsia="宋体"/>
                <w:color w:val="000000"/>
                <w:highlight w:val="none"/>
              </w:rPr>
            </w:pPr>
            <w:r>
              <w:rPr>
                <w:rFonts w:hint="eastAsia" w:eastAsia="宋体"/>
                <w:color w:val="000000"/>
                <w:highlight w:val="none"/>
              </w:rPr>
              <w:t>4</w:t>
            </w:r>
          </w:p>
        </w:tc>
        <w:tc>
          <w:tcPr>
            <w:tcW w:w="2717" w:type="dxa"/>
          </w:tcPr>
          <w:p>
            <w:pPr>
              <w:spacing w:line="360" w:lineRule="auto"/>
              <w:rPr>
                <w:rFonts w:eastAsia="宋体"/>
                <w:color w:val="000000"/>
                <w:highlight w:val="none"/>
              </w:rPr>
            </w:pPr>
            <w:r>
              <w:rPr>
                <w:rFonts w:hint="eastAsia"/>
                <w:color w:val="000000"/>
                <w:highlight w:val="none"/>
              </w:rPr>
              <w:t>物理叫号器</w:t>
            </w:r>
          </w:p>
        </w:tc>
        <w:tc>
          <w:tcPr>
            <w:tcW w:w="899" w:type="dxa"/>
          </w:tcPr>
          <w:p>
            <w:pPr>
              <w:spacing w:line="360" w:lineRule="auto"/>
              <w:jc w:val="center"/>
              <w:rPr>
                <w:rFonts w:eastAsia="宋体"/>
                <w:color w:val="000000"/>
                <w:highlight w:val="none"/>
              </w:rPr>
            </w:pPr>
            <w:r>
              <w:rPr>
                <w:rFonts w:hint="eastAsia" w:eastAsia="宋体"/>
                <w:color w:val="000000"/>
                <w:highlight w:val="none"/>
              </w:rPr>
              <w:t>7</w:t>
            </w:r>
          </w:p>
        </w:tc>
        <w:tc>
          <w:tcPr>
            <w:tcW w:w="535" w:type="dxa"/>
            <w:vAlign w:val="center"/>
          </w:tcPr>
          <w:p>
            <w:pPr>
              <w:spacing w:line="360" w:lineRule="auto"/>
              <w:jc w:val="center"/>
              <w:rPr>
                <w:rFonts w:eastAsia="宋体"/>
                <w:color w:val="000000"/>
                <w:highlight w:val="none"/>
              </w:rPr>
            </w:pPr>
            <w:r>
              <w:rPr>
                <w:rFonts w:hint="eastAsia"/>
                <w:color w:val="000000"/>
                <w:highlight w:val="none"/>
              </w:rPr>
              <w:t>台</w:t>
            </w:r>
          </w:p>
        </w:tc>
        <w:tc>
          <w:tcPr>
            <w:tcW w:w="4349" w:type="dxa"/>
            <w:vAlign w:val="center"/>
          </w:tcPr>
          <w:p>
            <w:pPr>
              <w:spacing w:line="360" w:lineRule="auto"/>
              <w:rPr>
                <w:color w:val="000000"/>
                <w:highlight w:val="none"/>
              </w:rPr>
            </w:pPr>
            <w:r>
              <w:rPr>
                <w:rFonts w:hint="eastAsia"/>
                <w:color w:val="000000"/>
                <w:highlight w:val="none"/>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9" w:type="dxa"/>
            <w:vAlign w:val="center"/>
          </w:tcPr>
          <w:p>
            <w:pPr>
              <w:spacing w:line="360" w:lineRule="auto"/>
              <w:jc w:val="center"/>
              <w:rPr>
                <w:rFonts w:eastAsia="宋体"/>
                <w:color w:val="000000"/>
                <w:highlight w:val="none"/>
              </w:rPr>
            </w:pPr>
            <w:r>
              <w:rPr>
                <w:rFonts w:hint="eastAsia" w:eastAsia="宋体"/>
                <w:color w:val="000000"/>
                <w:highlight w:val="none"/>
              </w:rPr>
              <w:t>5</w:t>
            </w:r>
          </w:p>
        </w:tc>
        <w:tc>
          <w:tcPr>
            <w:tcW w:w="2717" w:type="dxa"/>
          </w:tcPr>
          <w:p>
            <w:pPr>
              <w:spacing w:line="360" w:lineRule="auto"/>
              <w:rPr>
                <w:color w:val="000000"/>
                <w:highlight w:val="none"/>
              </w:rPr>
            </w:pPr>
            <w:r>
              <w:rPr>
                <w:rFonts w:hint="eastAsia"/>
                <w:color w:val="000000"/>
                <w:highlight w:val="none"/>
              </w:rPr>
              <w:t>机顶盒</w:t>
            </w:r>
          </w:p>
        </w:tc>
        <w:tc>
          <w:tcPr>
            <w:tcW w:w="899" w:type="dxa"/>
          </w:tcPr>
          <w:p>
            <w:pPr>
              <w:spacing w:line="360" w:lineRule="auto"/>
              <w:jc w:val="center"/>
              <w:rPr>
                <w:rFonts w:eastAsia="宋体"/>
                <w:color w:val="000000"/>
                <w:highlight w:val="none"/>
              </w:rPr>
            </w:pPr>
            <w:r>
              <w:rPr>
                <w:color w:val="000000"/>
                <w:highlight w:val="none"/>
              </w:rPr>
              <w:t>29</w:t>
            </w:r>
          </w:p>
        </w:tc>
        <w:tc>
          <w:tcPr>
            <w:tcW w:w="535" w:type="dxa"/>
            <w:vAlign w:val="center"/>
          </w:tcPr>
          <w:p>
            <w:pPr>
              <w:spacing w:line="360" w:lineRule="auto"/>
              <w:jc w:val="center"/>
              <w:rPr>
                <w:rFonts w:eastAsia="宋体"/>
                <w:color w:val="000000"/>
                <w:highlight w:val="none"/>
              </w:rPr>
            </w:pPr>
            <w:r>
              <w:rPr>
                <w:rFonts w:hint="eastAsia"/>
                <w:color w:val="000000"/>
                <w:highlight w:val="none"/>
              </w:rPr>
              <w:t>台</w:t>
            </w:r>
          </w:p>
        </w:tc>
        <w:tc>
          <w:tcPr>
            <w:tcW w:w="4349" w:type="dxa"/>
            <w:vAlign w:val="center"/>
          </w:tcPr>
          <w:p>
            <w:pPr>
              <w:spacing w:line="360" w:lineRule="auto"/>
              <w:rPr>
                <w:color w:val="000000"/>
                <w:highlight w:val="none"/>
              </w:rPr>
            </w:pPr>
            <w:r>
              <w:rPr>
                <w:rFonts w:hint="eastAsia"/>
                <w:color w:val="000000"/>
                <w:highlight w:val="none"/>
              </w:rPr>
              <w:t>全院相关科室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09" w:type="dxa"/>
            <w:vAlign w:val="center"/>
          </w:tcPr>
          <w:p>
            <w:pPr>
              <w:spacing w:line="360" w:lineRule="auto"/>
              <w:jc w:val="center"/>
              <w:rPr>
                <w:rFonts w:eastAsia="宋体"/>
                <w:color w:val="000000"/>
                <w:highlight w:val="none"/>
              </w:rPr>
            </w:pPr>
            <w:r>
              <w:rPr>
                <w:rFonts w:hint="eastAsia" w:eastAsia="宋体"/>
                <w:color w:val="000000"/>
                <w:highlight w:val="none"/>
              </w:rPr>
              <w:t>6</w:t>
            </w:r>
          </w:p>
        </w:tc>
        <w:tc>
          <w:tcPr>
            <w:tcW w:w="2717" w:type="dxa"/>
          </w:tcPr>
          <w:p>
            <w:pPr>
              <w:spacing w:line="360" w:lineRule="auto"/>
              <w:rPr>
                <w:color w:val="000000"/>
                <w:highlight w:val="none"/>
              </w:rPr>
            </w:pPr>
            <w:r>
              <w:rPr>
                <w:rFonts w:hint="eastAsia"/>
                <w:highlight w:val="none"/>
              </w:rPr>
              <w:t>医疗导引系统管理平台</w:t>
            </w:r>
          </w:p>
        </w:tc>
        <w:tc>
          <w:tcPr>
            <w:tcW w:w="899" w:type="dxa"/>
            <w:vAlign w:val="center"/>
          </w:tcPr>
          <w:p>
            <w:pPr>
              <w:spacing w:line="360" w:lineRule="auto"/>
              <w:jc w:val="center"/>
              <w:rPr>
                <w:color w:val="000000"/>
                <w:highlight w:val="none"/>
              </w:rPr>
            </w:pPr>
            <w:r>
              <w:rPr>
                <w:color w:val="000000"/>
                <w:highlight w:val="none"/>
              </w:rPr>
              <w:t>1</w:t>
            </w:r>
          </w:p>
        </w:tc>
        <w:tc>
          <w:tcPr>
            <w:tcW w:w="535" w:type="dxa"/>
            <w:vAlign w:val="center"/>
          </w:tcPr>
          <w:p>
            <w:pPr>
              <w:spacing w:line="360" w:lineRule="auto"/>
              <w:jc w:val="center"/>
              <w:rPr>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09" w:type="dxa"/>
            <w:vAlign w:val="center"/>
          </w:tcPr>
          <w:p>
            <w:pPr>
              <w:spacing w:line="360" w:lineRule="auto"/>
              <w:jc w:val="center"/>
              <w:rPr>
                <w:rFonts w:eastAsia="宋体"/>
                <w:color w:val="000000"/>
                <w:highlight w:val="none"/>
              </w:rPr>
            </w:pPr>
            <w:r>
              <w:rPr>
                <w:rFonts w:hint="eastAsia" w:eastAsia="宋体"/>
                <w:color w:val="000000"/>
                <w:highlight w:val="none"/>
              </w:rPr>
              <w:t>7</w:t>
            </w:r>
          </w:p>
        </w:tc>
        <w:tc>
          <w:tcPr>
            <w:tcW w:w="2717" w:type="dxa"/>
          </w:tcPr>
          <w:p>
            <w:pPr>
              <w:spacing w:line="360" w:lineRule="auto"/>
              <w:rPr>
                <w:color w:val="000000"/>
                <w:highlight w:val="none"/>
              </w:rPr>
            </w:pPr>
            <w:r>
              <w:rPr>
                <w:rFonts w:hint="eastAsia"/>
                <w:highlight w:val="none"/>
              </w:rPr>
              <w:t>多媒体信息发布系统</w:t>
            </w:r>
          </w:p>
        </w:tc>
        <w:tc>
          <w:tcPr>
            <w:tcW w:w="899" w:type="dxa"/>
            <w:vAlign w:val="center"/>
          </w:tcPr>
          <w:p>
            <w:pPr>
              <w:spacing w:line="360" w:lineRule="auto"/>
              <w:jc w:val="center"/>
              <w:rPr>
                <w:color w:val="000000"/>
                <w:highlight w:val="none"/>
              </w:rPr>
            </w:pPr>
            <w:r>
              <w:rPr>
                <w:color w:val="000000"/>
                <w:highlight w:val="none"/>
              </w:rPr>
              <w:t>1</w:t>
            </w:r>
          </w:p>
        </w:tc>
        <w:tc>
          <w:tcPr>
            <w:tcW w:w="535" w:type="dxa"/>
            <w:vAlign w:val="center"/>
          </w:tcPr>
          <w:p>
            <w:pPr>
              <w:spacing w:line="360" w:lineRule="auto"/>
              <w:jc w:val="center"/>
              <w:rPr>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09" w:type="dxa"/>
            <w:vAlign w:val="center"/>
          </w:tcPr>
          <w:p>
            <w:pPr>
              <w:spacing w:line="360" w:lineRule="auto"/>
              <w:jc w:val="center"/>
              <w:rPr>
                <w:color w:val="000000"/>
                <w:highlight w:val="none"/>
              </w:rPr>
            </w:pPr>
            <w:r>
              <w:rPr>
                <w:rFonts w:hint="eastAsia"/>
                <w:color w:val="000000"/>
                <w:highlight w:val="none"/>
              </w:rPr>
              <w:t>8</w:t>
            </w:r>
          </w:p>
        </w:tc>
        <w:tc>
          <w:tcPr>
            <w:tcW w:w="2717" w:type="dxa"/>
          </w:tcPr>
          <w:p>
            <w:pPr>
              <w:spacing w:line="360" w:lineRule="auto"/>
              <w:rPr>
                <w:highlight w:val="none"/>
              </w:rPr>
            </w:pPr>
            <w:r>
              <w:rPr>
                <w:rFonts w:hint="eastAsia"/>
                <w:highlight w:val="none"/>
              </w:rPr>
              <w:t>普通门诊叫号模块</w:t>
            </w:r>
          </w:p>
        </w:tc>
        <w:tc>
          <w:tcPr>
            <w:tcW w:w="899" w:type="dxa"/>
            <w:vAlign w:val="center"/>
          </w:tcPr>
          <w:p>
            <w:pPr>
              <w:spacing w:line="360" w:lineRule="auto"/>
              <w:jc w:val="center"/>
              <w:rPr>
                <w:color w:val="000000"/>
                <w:highlight w:val="none"/>
              </w:rPr>
            </w:pPr>
            <w:r>
              <w:rPr>
                <w:color w:val="000000"/>
                <w:highlight w:val="none"/>
              </w:rPr>
              <w:t>1</w:t>
            </w:r>
          </w:p>
        </w:tc>
        <w:tc>
          <w:tcPr>
            <w:tcW w:w="535" w:type="dxa"/>
            <w:vAlign w:val="center"/>
          </w:tcPr>
          <w:p>
            <w:pPr>
              <w:spacing w:line="360" w:lineRule="auto"/>
              <w:jc w:val="center"/>
              <w:rPr>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09" w:type="dxa"/>
            <w:vAlign w:val="center"/>
          </w:tcPr>
          <w:p>
            <w:pPr>
              <w:spacing w:line="360" w:lineRule="auto"/>
              <w:jc w:val="center"/>
              <w:rPr>
                <w:color w:val="000000"/>
                <w:highlight w:val="none"/>
              </w:rPr>
            </w:pPr>
            <w:r>
              <w:rPr>
                <w:rFonts w:hint="eastAsia"/>
                <w:color w:val="000000"/>
                <w:highlight w:val="none"/>
              </w:rPr>
              <w:t>9</w:t>
            </w:r>
          </w:p>
        </w:tc>
        <w:tc>
          <w:tcPr>
            <w:tcW w:w="2717" w:type="dxa"/>
          </w:tcPr>
          <w:p>
            <w:pPr>
              <w:spacing w:line="360" w:lineRule="auto"/>
              <w:rPr>
                <w:rFonts w:ascii="宋体" w:hAnsi="宋体" w:eastAsia="宋体" w:cs="宋体"/>
                <w:color w:val="000000" w:themeColor="text1"/>
                <w:kern w:val="0"/>
                <w:sz w:val="18"/>
                <w:szCs w:val="18"/>
                <w:highlight w:val="none"/>
                <w14:textFill>
                  <w14:solidFill>
                    <w14:schemeClr w14:val="tx1"/>
                  </w14:solidFill>
                </w14:textFill>
              </w:rPr>
            </w:pPr>
            <w:r>
              <w:rPr>
                <w:rFonts w:hint="eastAsia"/>
                <w:highlight w:val="none"/>
              </w:rPr>
              <w:t>医技检查叫号模块</w:t>
            </w:r>
          </w:p>
        </w:tc>
        <w:tc>
          <w:tcPr>
            <w:tcW w:w="899" w:type="dxa"/>
            <w:vAlign w:val="center"/>
          </w:tcPr>
          <w:p>
            <w:pPr>
              <w:spacing w:line="360" w:lineRule="auto"/>
              <w:jc w:val="center"/>
              <w:rPr>
                <w:color w:val="000000"/>
                <w:highlight w:val="none"/>
              </w:rPr>
            </w:pPr>
            <w:r>
              <w:rPr>
                <w:rFonts w:hint="eastAsia"/>
                <w:color w:val="000000"/>
                <w:highlight w:val="none"/>
              </w:rPr>
              <w:t>1</w:t>
            </w:r>
          </w:p>
        </w:tc>
        <w:tc>
          <w:tcPr>
            <w:tcW w:w="535" w:type="dxa"/>
            <w:vAlign w:val="center"/>
          </w:tcPr>
          <w:p>
            <w:pPr>
              <w:spacing w:line="360" w:lineRule="auto"/>
              <w:jc w:val="center"/>
              <w:rPr>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09" w:type="dxa"/>
            <w:vAlign w:val="center"/>
          </w:tcPr>
          <w:p>
            <w:pPr>
              <w:spacing w:line="360" w:lineRule="auto"/>
              <w:jc w:val="center"/>
              <w:rPr>
                <w:color w:val="000000"/>
                <w:highlight w:val="none"/>
              </w:rPr>
            </w:pPr>
            <w:r>
              <w:rPr>
                <w:color w:val="000000"/>
                <w:highlight w:val="none"/>
              </w:rPr>
              <w:t>1</w:t>
            </w:r>
            <w:r>
              <w:rPr>
                <w:rFonts w:hint="eastAsia"/>
                <w:color w:val="000000"/>
                <w:highlight w:val="none"/>
              </w:rPr>
              <w:t>0</w:t>
            </w:r>
          </w:p>
        </w:tc>
        <w:tc>
          <w:tcPr>
            <w:tcW w:w="2717" w:type="dxa"/>
          </w:tcPr>
          <w:p>
            <w:pPr>
              <w:spacing w:line="360" w:lineRule="auto"/>
              <w:rPr>
                <w:rFonts w:ascii="宋体" w:hAnsi="宋体" w:eastAsia="宋体" w:cs="宋体"/>
                <w:color w:val="000000" w:themeColor="text1"/>
                <w:kern w:val="0"/>
                <w:sz w:val="18"/>
                <w:szCs w:val="18"/>
                <w:highlight w:val="none"/>
                <w14:textFill>
                  <w14:solidFill>
                    <w14:schemeClr w14:val="tx1"/>
                  </w14:solidFill>
                </w14:textFill>
              </w:rPr>
            </w:pPr>
            <w:r>
              <w:rPr>
                <w:rFonts w:hint="eastAsia"/>
                <w:highlight w:val="none"/>
              </w:rPr>
              <w:t>医技检验叫号模块</w:t>
            </w:r>
          </w:p>
        </w:tc>
        <w:tc>
          <w:tcPr>
            <w:tcW w:w="899" w:type="dxa"/>
            <w:vAlign w:val="center"/>
          </w:tcPr>
          <w:p>
            <w:pPr>
              <w:spacing w:line="360" w:lineRule="auto"/>
              <w:jc w:val="center"/>
              <w:rPr>
                <w:color w:val="000000"/>
                <w:highlight w:val="none"/>
              </w:rPr>
            </w:pPr>
            <w:r>
              <w:rPr>
                <w:rFonts w:hint="eastAsia"/>
                <w:color w:val="000000"/>
                <w:highlight w:val="none"/>
              </w:rPr>
              <w:t>1</w:t>
            </w:r>
          </w:p>
        </w:tc>
        <w:tc>
          <w:tcPr>
            <w:tcW w:w="535" w:type="dxa"/>
            <w:vAlign w:val="center"/>
          </w:tcPr>
          <w:p>
            <w:pPr>
              <w:spacing w:line="360" w:lineRule="auto"/>
              <w:jc w:val="center"/>
              <w:rPr>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360" w:lineRule="auto"/>
              <w:jc w:val="center"/>
              <w:rPr>
                <w:rFonts w:eastAsia="宋体"/>
                <w:color w:val="000000"/>
                <w:highlight w:val="none"/>
              </w:rPr>
            </w:pPr>
            <w:r>
              <w:rPr>
                <w:rFonts w:eastAsia="宋体"/>
                <w:color w:val="000000"/>
                <w:highlight w:val="none"/>
              </w:rPr>
              <w:t>1</w:t>
            </w:r>
            <w:r>
              <w:rPr>
                <w:rFonts w:hint="eastAsia" w:eastAsia="宋体"/>
                <w:color w:val="000000"/>
                <w:highlight w:val="none"/>
              </w:rPr>
              <w:t>1</w:t>
            </w:r>
          </w:p>
        </w:tc>
        <w:tc>
          <w:tcPr>
            <w:tcW w:w="2717" w:type="dxa"/>
          </w:tcPr>
          <w:p>
            <w:pPr>
              <w:spacing w:line="360" w:lineRule="auto"/>
              <w:rPr>
                <w:color w:val="000000"/>
                <w:highlight w:val="none"/>
              </w:rPr>
            </w:pPr>
            <w:r>
              <w:rPr>
                <w:rFonts w:hint="eastAsia"/>
                <w:highlight w:val="none"/>
              </w:rPr>
              <w:t>虚拟叫号器软件</w:t>
            </w:r>
          </w:p>
        </w:tc>
        <w:tc>
          <w:tcPr>
            <w:tcW w:w="899" w:type="dxa"/>
            <w:vAlign w:val="center"/>
          </w:tcPr>
          <w:p>
            <w:pPr>
              <w:spacing w:line="360" w:lineRule="auto"/>
              <w:jc w:val="center"/>
              <w:rPr>
                <w:rFonts w:eastAsia="宋体"/>
                <w:color w:val="000000"/>
                <w:highlight w:val="none"/>
              </w:rPr>
            </w:pPr>
            <w:r>
              <w:rPr>
                <w:rFonts w:hint="eastAsia" w:eastAsia="宋体"/>
                <w:color w:val="000000"/>
                <w:highlight w:val="none"/>
              </w:rPr>
              <w:t>1</w:t>
            </w:r>
          </w:p>
        </w:tc>
        <w:tc>
          <w:tcPr>
            <w:tcW w:w="535" w:type="dxa"/>
            <w:vAlign w:val="center"/>
          </w:tcPr>
          <w:p>
            <w:pPr>
              <w:spacing w:line="360" w:lineRule="auto"/>
              <w:jc w:val="center"/>
              <w:rPr>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r>
              <w:rPr>
                <w:rFonts w:hint="eastAsia"/>
                <w:color w:val="000000"/>
                <w:highlight w:val="none"/>
              </w:rPr>
              <w:t>无点位限制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360" w:lineRule="auto"/>
              <w:jc w:val="center"/>
              <w:rPr>
                <w:rFonts w:eastAsia="宋体"/>
                <w:color w:val="000000"/>
                <w:highlight w:val="none"/>
              </w:rPr>
            </w:pPr>
            <w:r>
              <w:rPr>
                <w:rFonts w:eastAsia="宋体"/>
                <w:color w:val="000000"/>
                <w:highlight w:val="none"/>
              </w:rPr>
              <w:t>1</w:t>
            </w:r>
            <w:r>
              <w:rPr>
                <w:rFonts w:hint="eastAsia" w:eastAsia="宋体"/>
                <w:color w:val="000000"/>
                <w:highlight w:val="none"/>
              </w:rPr>
              <w:t>2</w:t>
            </w:r>
          </w:p>
        </w:tc>
        <w:tc>
          <w:tcPr>
            <w:tcW w:w="2717" w:type="dxa"/>
          </w:tcPr>
          <w:p>
            <w:pPr>
              <w:spacing w:line="360" w:lineRule="auto"/>
              <w:rPr>
                <w:highlight w:val="none"/>
              </w:rPr>
            </w:pPr>
            <w:r>
              <w:rPr>
                <w:rFonts w:hint="eastAsia"/>
                <w:highlight w:val="none"/>
              </w:rPr>
              <w:t>护士站分诊台</w:t>
            </w:r>
          </w:p>
        </w:tc>
        <w:tc>
          <w:tcPr>
            <w:tcW w:w="899" w:type="dxa"/>
            <w:vAlign w:val="center"/>
          </w:tcPr>
          <w:p>
            <w:pPr>
              <w:spacing w:line="360" w:lineRule="auto"/>
              <w:jc w:val="center"/>
              <w:rPr>
                <w:rFonts w:eastAsia="宋体"/>
                <w:color w:val="000000"/>
                <w:highlight w:val="none"/>
              </w:rPr>
            </w:pPr>
            <w:r>
              <w:rPr>
                <w:rFonts w:hint="eastAsia" w:eastAsia="宋体"/>
                <w:color w:val="000000"/>
                <w:highlight w:val="none"/>
              </w:rPr>
              <w:t>1</w:t>
            </w:r>
          </w:p>
        </w:tc>
        <w:tc>
          <w:tcPr>
            <w:tcW w:w="535" w:type="dxa"/>
            <w:vAlign w:val="center"/>
          </w:tcPr>
          <w:p>
            <w:pPr>
              <w:spacing w:line="360" w:lineRule="auto"/>
              <w:jc w:val="center"/>
              <w:rPr>
                <w:rFonts w:eastAsia="宋体"/>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r>
              <w:rPr>
                <w:rFonts w:hint="eastAsia"/>
                <w:color w:val="000000"/>
                <w:highlight w:val="none"/>
              </w:rPr>
              <w:t>无点位限制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09" w:type="dxa"/>
            <w:vAlign w:val="center"/>
          </w:tcPr>
          <w:p>
            <w:pPr>
              <w:spacing w:line="360" w:lineRule="auto"/>
              <w:jc w:val="center"/>
              <w:rPr>
                <w:rFonts w:eastAsia="宋体"/>
                <w:color w:val="000000"/>
                <w:highlight w:val="none"/>
              </w:rPr>
            </w:pPr>
            <w:r>
              <w:rPr>
                <w:rFonts w:eastAsia="宋体"/>
                <w:color w:val="000000"/>
                <w:highlight w:val="none"/>
              </w:rPr>
              <w:t>1</w:t>
            </w:r>
            <w:r>
              <w:rPr>
                <w:rFonts w:hint="eastAsia" w:eastAsia="宋体"/>
                <w:color w:val="000000"/>
                <w:highlight w:val="none"/>
              </w:rPr>
              <w:t>3</w:t>
            </w:r>
          </w:p>
        </w:tc>
        <w:tc>
          <w:tcPr>
            <w:tcW w:w="2717" w:type="dxa"/>
          </w:tcPr>
          <w:p>
            <w:pPr>
              <w:spacing w:line="360" w:lineRule="auto"/>
              <w:rPr>
                <w:color w:val="000000"/>
                <w:highlight w:val="none"/>
              </w:rPr>
            </w:pPr>
            <w:r>
              <w:rPr>
                <w:rFonts w:hint="eastAsia"/>
                <w:highlight w:val="none"/>
              </w:rPr>
              <w:t>信息显示客户端软件</w:t>
            </w:r>
          </w:p>
        </w:tc>
        <w:tc>
          <w:tcPr>
            <w:tcW w:w="899" w:type="dxa"/>
            <w:vAlign w:val="center"/>
          </w:tcPr>
          <w:p>
            <w:pPr>
              <w:spacing w:line="360" w:lineRule="auto"/>
              <w:jc w:val="center"/>
              <w:rPr>
                <w:rFonts w:eastAsia="宋体"/>
                <w:color w:val="000000"/>
                <w:highlight w:val="none"/>
              </w:rPr>
            </w:pPr>
            <w:r>
              <w:rPr>
                <w:rFonts w:hint="eastAsia" w:eastAsia="宋体"/>
                <w:color w:val="000000"/>
                <w:highlight w:val="none"/>
              </w:rPr>
              <w:t>1</w:t>
            </w:r>
          </w:p>
        </w:tc>
        <w:tc>
          <w:tcPr>
            <w:tcW w:w="535" w:type="dxa"/>
            <w:vAlign w:val="center"/>
          </w:tcPr>
          <w:p>
            <w:pPr>
              <w:spacing w:line="360" w:lineRule="auto"/>
              <w:jc w:val="center"/>
              <w:rPr>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r>
              <w:rPr>
                <w:rFonts w:hint="eastAsia"/>
                <w:color w:val="000000"/>
                <w:highlight w:val="none"/>
              </w:rPr>
              <w:t>无点位限制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09" w:type="dxa"/>
            <w:vAlign w:val="center"/>
          </w:tcPr>
          <w:p>
            <w:pPr>
              <w:spacing w:line="360" w:lineRule="auto"/>
              <w:jc w:val="center"/>
              <w:rPr>
                <w:rFonts w:eastAsia="宋体"/>
                <w:color w:val="000000"/>
                <w:highlight w:val="none"/>
              </w:rPr>
            </w:pPr>
            <w:r>
              <w:rPr>
                <w:rFonts w:hint="eastAsia" w:eastAsia="宋体"/>
                <w:color w:val="000000"/>
                <w:highlight w:val="none"/>
              </w:rPr>
              <w:t>14</w:t>
            </w:r>
          </w:p>
        </w:tc>
        <w:tc>
          <w:tcPr>
            <w:tcW w:w="2717" w:type="dxa"/>
            <w:vAlign w:val="center"/>
          </w:tcPr>
          <w:p>
            <w:pPr>
              <w:spacing w:line="360" w:lineRule="auto"/>
              <w:rPr>
                <w:color w:val="000000"/>
                <w:highlight w:val="none"/>
              </w:rPr>
            </w:pPr>
            <w:r>
              <w:rPr>
                <w:rFonts w:hint="eastAsia"/>
                <w:color w:val="000000"/>
                <w:highlight w:val="none"/>
              </w:rPr>
              <w:t>语音平台库软件</w:t>
            </w:r>
          </w:p>
        </w:tc>
        <w:tc>
          <w:tcPr>
            <w:tcW w:w="899" w:type="dxa"/>
            <w:vAlign w:val="center"/>
          </w:tcPr>
          <w:p>
            <w:pPr>
              <w:spacing w:line="360" w:lineRule="auto"/>
              <w:jc w:val="center"/>
              <w:rPr>
                <w:color w:val="000000"/>
                <w:highlight w:val="none"/>
              </w:rPr>
            </w:pPr>
            <w:r>
              <w:rPr>
                <w:rFonts w:hint="eastAsia"/>
                <w:color w:val="000000"/>
                <w:highlight w:val="none"/>
              </w:rPr>
              <w:t>1</w:t>
            </w:r>
          </w:p>
        </w:tc>
        <w:tc>
          <w:tcPr>
            <w:tcW w:w="535" w:type="dxa"/>
            <w:vAlign w:val="center"/>
          </w:tcPr>
          <w:p>
            <w:pPr>
              <w:spacing w:line="360" w:lineRule="auto"/>
              <w:jc w:val="center"/>
              <w:rPr>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09" w:type="dxa"/>
            <w:vAlign w:val="center"/>
          </w:tcPr>
          <w:p>
            <w:pPr>
              <w:spacing w:line="360" w:lineRule="auto"/>
              <w:jc w:val="center"/>
              <w:rPr>
                <w:rFonts w:eastAsia="宋体"/>
                <w:color w:val="000000"/>
                <w:highlight w:val="none"/>
              </w:rPr>
            </w:pPr>
            <w:r>
              <w:rPr>
                <w:rFonts w:eastAsia="宋体"/>
                <w:color w:val="000000"/>
                <w:highlight w:val="none"/>
              </w:rPr>
              <w:t>1</w:t>
            </w:r>
            <w:r>
              <w:rPr>
                <w:rFonts w:hint="eastAsia" w:eastAsia="宋体"/>
                <w:color w:val="000000"/>
                <w:highlight w:val="none"/>
              </w:rPr>
              <w:t>5</w:t>
            </w:r>
          </w:p>
        </w:tc>
        <w:tc>
          <w:tcPr>
            <w:tcW w:w="2717" w:type="dxa"/>
            <w:vAlign w:val="center"/>
          </w:tcPr>
          <w:p>
            <w:pPr>
              <w:spacing w:line="360" w:lineRule="auto"/>
              <w:rPr>
                <w:color w:val="000000"/>
                <w:highlight w:val="none"/>
              </w:rPr>
            </w:pPr>
            <w:r>
              <w:rPr>
                <w:rFonts w:hint="eastAsia"/>
                <w:color w:val="000000"/>
                <w:highlight w:val="none"/>
              </w:rPr>
              <w:t>数据接口（H</w:t>
            </w:r>
            <w:r>
              <w:rPr>
                <w:color w:val="000000"/>
                <w:highlight w:val="none"/>
              </w:rPr>
              <w:t>IS</w:t>
            </w:r>
            <w:r>
              <w:rPr>
                <w:rFonts w:hint="eastAsia"/>
                <w:color w:val="000000"/>
                <w:highlight w:val="none"/>
              </w:rPr>
              <w:t>、L</w:t>
            </w:r>
            <w:r>
              <w:rPr>
                <w:color w:val="000000"/>
                <w:highlight w:val="none"/>
              </w:rPr>
              <w:t>IS</w:t>
            </w:r>
            <w:r>
              <w:rPr>
                <w:rFonts w:hint="eastAsia"/>
                <w:color w:val="000000"/>
                <w:highlight w:val="none"/>
              </w:rPr>
              <w:t>、P</w:t>
            </w:r>
            <w:r>
              <w:rPr>
                <w:color w:val="000000"/>
                <w:highlight w:val="none"/>
              </w:rPr>
              <w:t>ACS</w:t>
            </w:r>
            <w:r>
              <w:rPr>
                <w:rFonts w:hint="eastAsia"/>
                <w:color w:val="000000"/>
                <w:highlight w:val="none"/>
              </w:rPr>
              <w:t>、集成平台）</w:t>
            </w:r>
          </w:p>
        </w:tc>
        <w:tc>
          <w:tcPr>
            <w:tcW w:w="899" w:type="dxa"/>
            <w:vAlign w:val="center"/>
          </w:tcPr>
          <w:p>
            <w:pPr>
              <w:spacing w:line="360" w:lineRule="auto"/>
              <w:jc w:val="center"/>
              <w:rPr>
                <w:color w:val="000000"/>
                <w:highlight w:val="none"/>
              </w:rPr>
            </w:pPr>
            <w:r>
              <w:rPr>
                <w:rFonts w:hint="eastAsia"/>
                <w:color w:val="000000"/>
                <w:highlight w:val="none"/>
              </w:rPr>
              <w:t xml:space="preserve">1 </w:t>
            </w:r>
          </w:p>
        </w:tc>
        <w:tc>
          <w:tcPr>
            <w:tcW w:w="535" w:type="dxa"/>
            <w:vAlign w:val="center"/>
          </w:tcPr>
          <w:p>
            <w:pPr>
              <w:spacing w:line="360" w:lineRule="auto"/>
              <w:jc w:val="center"/>
              <w:rPr>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09" w:type="dxa"/>
            <w:vAlign w:val="center"/>
          </w:tcPr>
          <w:p>
            <w:pPr>
              <w:spacing w:line="360" w:lineRule="auto"/>
              <w:jc w:val="center"/>
              <w:rPr>
                <w:rFonts w:eastAsia="宋体"/>
                <w:color w:val="000000"/>
                <w:highlight w:val="none"/>
              </w:rPr>
            </w:pPr>
            <w:r>
              <w:rPr>
                <w:rFonts w:hint="eastAsia" w:eastAsia="宋体"/>
                <w:color w:val="000000"/>
                <w:highlight w:val="none"/>
              </w:rPr>
              <w:t>16</w:t>
            </w:r>
          </w:p>
        </w:tc>
        <w:tc>
          <w:tcPr>
            <w:tcW w:w="2717" w:type="dxa"/>
            <w:vAlign w:val="center"/>
          </w:tcPr>
          <w:p>
            <w:pPr>
              <w:spacing w:line="360" w:lineRule="auto"/>
              <w:rPr>
                <w:color w:val="000000"/>
                <w:highlight w:val="none"/>
              </w:rPr>
            </w:pPr>
            <w:r>
              <w:rPr>
                <w:rFonts w:hint="eastAsia" w:eastAsia="宋体"/>
                <w:color w:val="000000"/>
                <w:highlight w:val="none"/>
              </w:rPr>
              <w:t>门诊辅助统计系统</w:t>
            </w:r>
          </w:p>
        </w:tc>
        <w:tc>
          <w:tcPr>
            <w:tcW w:w="899" w:type="dxa"/>
            <w:vAlign w:val="center"/>
          </w:tcPr>
          <w:p>
            <w:pPr>
              <w:spacing w:line="360" w:lineRule="auto"/>
              <w:jc w:val="center"/>
              <w:rPr>
                <w:color w:val="000000"/>
                <w:highlight w:val="none"/>
              </w:rPr>
            </w:pPr>
            <w:r>
              <w:rPr>
                <w:rFonts w:hint="eastAsia"/>
                <w:color w:val="000000"/>
                <w:highlight w:val="none"/>
              </w:rPr>
              <w:t>1</w:t>
            </w:r>
          </w:p>
        </w:tc>
        <w:tc>
          <w:tcPr>
            <w:tcW w:w="535" w:type="dxa"/>
            <w:vAlign w:val="center"/>
          </w:tcPr>
          <w:p>
            <w:pPr>
              <w:spacing w:line="360" w:lineRule="auto"/>
              <w:jc w:val="center"/>
              <w:rPr>
                <w:color w:val="000000"/>
                <w:highlight w:val="none"/>
              </w:rPr>
            </w:pPr>
            <w:r>
              <w:rPr>
                <w:rFonts w:hint="eastAsia"/>
                <w:color w:val="000000"/>
                <w:highlight w:val="none"/>
              </w:rPr>
              <w:t>套</w:t>
            </w:r>
          </w:p>
        </w:tc>
        <w:tc>
          <w:tcPr>
            <w:tcW w:w="4349" w:type="dxa"/>
            <w:vAlign w:val="center"/>
          </w:tcPr>
          <w:p>
            <w:pPr>
              <w:spacing w:line="360" w:lineRule="auto"/>
              <w:rPr>
                <w:color w:val="000000"/>
                <w:highlight w:val="none"/>
              </w:rPr>
            </w:pPr>
          </w:p>
        </w:tc>
      </w:tr>
      <w:bookmarkEnd w:id="68"/>
    </w:tbl>
    <w:p>
      <w:pPr>
        <w:pStyle w:val="2"/>
        <w:rPr>
          <w:sz w:val="28"/>
          <w:szCs w:val="28"/>
        </w:rPr>
      </w:pPr>
      <w:bookmarkStart w:id="11" w:name="_Toc53656663"/>
      <w:r>
        <w:rPr>
          <w:rFonts w:hint="eastAsia"/>
          <w:sz w:val="28"/>
          <w:szCs w:val="28"/>
        </w:rPr>
        <w:t>系统功能需求</w:t>
      </w:r>
      <w:bookmarkEnd w:id="11"/>
    </w:p>
    <w:p>
      <w:pPr>
        <w:pStyle w:val="5"/>
        <w:rPr>
          <w:color w:val="000000" w:themeColor="text1"/>
          <w14:textFill>
            <w14:solidFill>
              <w14:schemeClr w14:val="tx1"/>
            </w14:solidFill>
          </w14:textFill>
        </w:rPr>
      </w:pPr>
      <w:bookmarkStart w:id="12" w:name="_Toc53656664"/>
      <w:r>
        <w:rPr>
          <w:rFonts w:hint="eastAsia"/>
          <w:color w:val="000000" w:themeColor="text1"/>
          <w14:textFill>
            <w14:solidFill>
              <w14:schemeClr w14:val="tx1"/>
            </w14:solidFill>
          </w14:textFill>
        </w:rPr>
        <w:t>医疗导引及多媒体信息发布系统平台</w:t>
      </w:r>
      <w:bookmarkEnd w:id="12"/>
    </w:p>
    <w:p>
      <w:pPr>
        <w:pStyle w:val="6"/>
        <w:spacing w:line="413" w:lineRule="auto"/>
        <w:ind w:left="0" w:firstLine="0"/>
      </w:pPr>
      <w:bookmarkStart w:id="13" w:name="_Toc53656665"/>
      <w:r>
        <w:rPr>
          <w:rFonts w:hint="eastAsia"/>
        </w:rPr>
        <w:t>普通门诊叫号需求</w:t>
      </w:r>
      <w:bookmarkEnd w:id="13"/>
    </w:p>
    <w:p>
      <w:pPr>
        <w:widowControl/>
        <w:numPr>
          <w:ilvl w:val="0"/>
          <w:numId w:val="6"/>
        </w:numPr>
        <w:spacing w:line="360" w:lineRule="auto"/>
        <w:jc w:val="left"/>
        <w:rPr>
          <w:kern w:val="0"/>
        </w:rPr>
      </w:pPr>
      <w:bookmarkStart w:id="14" w:name="_Hlk53652481"/>
      <w:r>
        <w:rPr>
          <w:rFonts w:hint="eastAsia" w:ascii="宋体" w:hAnsi="宋体" w:eastAsia="宋体"/>
          <w:sz w:val="21"/>
          <w:szCs w:val="21"/>
        </w:rPr>
        <w:t>★</w:t>
      </w:r>
      <w:bookmarkEnd w:id="14"/>
      <w:r>
        <w:rPr>
          <w:rFonts w:hint="eastAsia" w:ascii="宋体" w:hAnsi="宋体" w:cs="宋体"/>
          <w:szCs w:val="21"/>
        </w:rPr>
        <w:t>提供“普通门诊叫号系统软件”软件著作权证书</w:t>
      </w:r>
    </w:p>
    <w:p>
      <w:pPr>
        <w:widowControl/>
        <w:numPr>
          <w:ilvl w:val="0"/>
          <w:numId w:val="6"/>
        </w:numPr>
        <w:spacing w:line="360" w:lineRule="auto"/>
        <w:jc w:val="left"/>
        <w:rPr>
          <w:kern w:val="0"/>
        </w:rPr>
      </w:pPr>
      <w:r>
        <w:rPr>
          <w:rFonts w:hint="eastAsia"/>
          <w:kern w:val="0"/>
        </w:rPr>
        <w:t>系统可根据诊间环境大小及特点设定诊间等候区等候人数1-3人不等；</w:t>
      </w:r>
    </w:p>
    <w:p>
      <w:pPr>
        <w:widowControl/>
        <w:numPr>
          <w:ilvl w:val="0"/>
          <w:numId w:val="6"/>
        </w:numPr>
        <w:spacing w:line="360" w:lineRule="auto"/>
        <w:jc w:val="left"/>
        <w:rPr>
          <w:kern w:val="0"/>
        </w:rPr>
      </w:pPr>
      <w:r>
        <w:rPr>
          <w:rFonts w:hint="eastAsia"/>
          <w:kern w:val="0"/>
        </w:rPr>
        <w:t>系统支持对复诊、过号患者与初诊患者进行间隔呼叫的设定，设定规设定灵活简便。</w:t>
      </w:r>
    </w:p>
    <w:p>
      <w:pPr>
        <w:widowControl/>
        <w:numPr>
          <w:ilvl w:val="0"/>
          <w:numId w:val="6"/>
        </w:numPr>
        <w:spacing w:line="360" w:lineRule="auto"/>
        <w:jc w:val="left"/>
        <w:rPr>
          <w:kern w:val="0"/>
        </w:rPr>
      </w:pPr>
      <w:r>
        <w:rPr>
          <w:rFonts w:hint="eastAsia"/>
          <w:kern w:val="0"/>
        </w:rPr>
        <w:t>系统须支持支持全自动形成队列、人工报到形成队列（患者自助报到、护士操作报到）以及自动及人工混合报到三种模式；</w:t>
      </w:r>
    </w:p>
    <w:p>
      <w:pPr>
        <w:widowControl/>
        <w:numPr>
          <w:ilvl w:val="0"/>
          <w:numId w:val="6"/>
        </w:numPr>
        <w:spacing w:line="360" w:lineRule="auto"/>
        <w:jc w:val="left"/>
        <w:rPr>
          <w:kern w:val="0"/>
        </w:rPr>
      </w:pPr>
      <w:r>
        <w:rPr>
          <w:rFonts w:hint="eastAsia" w:ascii="宋体" w:hAnsi="宋体" w:eastAsia="宋体"/>
          <w:sz w:val="21"/>
          <w:szCs w:val="21"/>
        </w:rPr>
        <w:t>★</w:t>
      </w:r>
      <w:r>
        <w:rPr>
          <w:rFonts w:hint="eastAsia"/>
          <w:kern w:val="0"/>
        </w:rPr>
        <w:t>支持一对多（单个医生看诊多个队列）和多对一（多个医生看诊同一个队列）叫号模式；</w:t>
      </w:r>
    </w:p>
    <w:p>
      <w:pPr>
        <w:widowControl/>
        <w:numPr>
          <w:ilvl w:val="0"/>
          <w:numId w:val="6"/>
        </w:numPr>
        <w:spacing w:line="360" w:lineRule="auto"/>
        <w:jc w:val="left"/>
        <w:rPr>
          <w:kern w:val="0"/>
        </w:rPr>
      </w:pPr>
      <w:r>
        <w:rPr>
          <w:rFonts w:hint="eastAsia" w:ascii="宋体" w:hAnsi="宋体" w:eastAsia="宋体"/>
          <w:sz w:val="21"/>
          <w:szCs w:val="21"/>
        </w:rPr>
        <w:t>★</w:t>
      </w:r>
      <w:r>
        <w:rPr>
          <w:rFonts w:hint="eastAsia"/>
          <w:kern w:val="0"/>
        </w:rPr>
        <w:t>支持一诊室一医生、一诊室多医生的排队叫号模式；</w:t>
      </w:r>
    </w:p>
    <w:p>
      <w:pPr>
        <w:widowControl/>
        <w:numPr>
          <w:ilvl w:val="0"/>
          <w:numId w:val="6"/>
        </w:numPr>
        <w:spacing w:line="360" w:lineRule="auto"/>
        <w:jc w:val="left"/>
        <w:rPr>
          <w:kern w:val="0"/>
        </w:rPr>
      </w:pPr>
      <w:r>
        <w:rPr>
          <w:rFonts w:hint="eastAsia"/>
          <w:kern w:val="0"/>
        </w:rPr>
        <w:t>支持患者刷卡/扫描签到排队模式；支持非签到自动排队模式；支持自助取号排队模式；</w:t>
      </w:r>
    </w:p>
    <w:p>
      <w:pPr>
        <w:widowControl/>
        <w:numPr>
          <w:ilvl w:val="0"/>
          <w:numId w:val="6"/>
        </w:numPr>
        <w:spacing w:line="360" w:lineRule="auto"/>
        <w:jc w:val="left"/>
        <w:rPr>
          <w:kern w:val="0"/>
        </w:rPr>
      </w:pPr>
      <w:r>
        <w:rPr>
          <w:rFonts w:hint="eastAsia"/>
          <w:kern w:val="0"/>
        </w:rPr>
        <w:t>支持当日挂号与预约患者混合排队模式，预约患者在预约时段内优先就诊。</w:t>
      </w:r>
    </w:p>
    <w:p>
      <w:pPr>
        <w:widowControl/>
        <w:numPr>
          <w:ilvl w:val="0"/>
          <w:numId w:val="6"/>
        </w:numPr>
        <w:spacing w:line="360" w:lineRule="auto"/>
        <w:jc w:val="left"/>
        <w:rPr>
          <w:kern w:val="0"/>
        </w:rPr>
      </w:pPr>
      <w:r>
        <w:rPr>
          <w:rFonts w:hint="eastAsia" w:ascii="宋体" w:hAnsi="宋体" w:eastAsia="宋体"/>
          <w:sz w:val="21"/>
          <w:szCs w:val="21"/>
        </w:rPr>
        <w:t>★</w:t>
      </w:r>
      <w:r>
        <w:rPr>
          <w:rFonts w:hint="eastAsia"/>
          <w:kern w:val="0"/>
        </w:rPr>
        <w:t>早间高峰期患者突增情况下，分诊台软件须支持自动报到和手动批量报到机制；</w:t>
      </w:r>
    </w:p>
    <w:p>
      <w:pPr>
        <w:widowControl/>
        <w:numPr>
          <w:ilvl w:val="0"/>
          <w:numId w:val="6"/>
        </w:numPr>
        <w:spacing w:line="360" w:lineRule="auto"/>
        <w:jc w:val="left"/>
      </w:pPr>
      <w:r>
        <w:rPr>
          <w:rFonts w:hint="eastAsia"/>
          <w:kern w:val="0"/>
        </w:rPr>
        <w:t>中午午休时间，系统可自动切换到信息发布显示，叫号屏播放医院自己的宣教片。</w:t>
      </w:r>
    </w:p>
    <w:p>
      <w:pPr>
        <w:pStyle w:val="6"/>
        <w:spacing w:line="413" w:lineRule="auto"/>
        <w:ind w:left="0" w:firstLine="0"/>
      </w:pPr>
      <w:bookmarkStart w:id="15" w:name="_Toc53656666"/>
      <w:r>
        <w:rPr>
          <w:rFonts w:hint="eastAsia"/>
        </w:rPr>
        <w:t>信息发布系统需求</w:t>
      </w:r>
      <w:bookmarkEnd w:id="15"/>
    </w:p>
    <w:p>
      <w:pPr>
        <w:widowControl/>
        <w:numPr>
          <w:ilvl w:val="0"/>
          <w:numId w:val="7"/>
        </w:numPr>
        <w:spacing w:line="360" w:lineRule="auto"/>
        <w:jc w:val="left"/>
      </w:pPr>
      <w:r>
        <w:rPr>
          <w:rFonts w:hint="eastAsia" w:ascii="宋体" w:hAnsi="宋体" w:eastAsia="宋体"/>
          <w:sz w:val="21"/>
          <w:szCs w:val="21"/>
        </w:rPr>
        <w:t>★</w:t>
      </w:r>
      <w:r>
        <w:rPr>
          <w:rFonts w:hint="eastAsia" w:ascii="宋体" w:hAnsi="宋体" w:cs="宋体"/>
          <w:szCs w:val="21"/>
        </w:rPr>
        <w:t>提供“信息发布系统软件”软件著作权证书</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可播放各种格式的图片、文档、FLASH、网页及音视频。支持同时叠加多个元素同时播放。</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立体声、双道，支持MP3,AC3,PCM,WMA等格式，系统音频文件播放可以隐藏任务方式编排和播放，不影响可见窗口的媒体播放，即可播放背景音乐。</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图像明亮清晰，不受显示屏尺寸大小限制可满屏播放，视频播放连续，无动画和马赛克，画面流畅。</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每个液晶屏幕上可以播放不同的节目，每个液晶屏幕上可以自由分割出多画面同时播放，支持各种高清播放格式文件。</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可以指定终端空闲时间下载，宽带占用率低，不会影响正常的网络办公。在网络断开或服务器瘫痪的条件下，不影响显示端的正常播放。</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可通过制定、编辑节目播放列表，网络管理播放顺序。</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播放列表设定多个媒体内容的播放时间次序。可定时播放、指定时间播放、随时插播，可以对发布时间（开始，持续，结束）、发布顺序等进行编制和定义管理。</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显示屏幕划分成多个区域，每个区域可根据我院需求播放不同的多媒体节目，可设置不同大小。我院可以利用系统中提供的固定模版，也可以通过系统的模版制作模块，自己任意拖拉制作新的分割画面模版。可预定所有区域的播放日期和时间，也可对每个区域设定一个独立的播放时间表。</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系统提供多种不同的屏幕划分显示模版供选择，同时还可以自己编辑新的布局模版，这些布局可以作为模板，在节目编排时使用。</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可以随时随地的向各显示播放端发布“滚动字幕（跑马灯信息）”，而且“滚动字幕”的字体类型、大小、颜色、滚动速度与位置都允许调整。</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★具有紧急信息和临时信息的插入播放功能，紧急信息或临时播放完毕能够自动切换到原播放节目。</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可以在主控端控制和调节各个显示终端的声音大小。</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★系统要求支持一机多用的设置，根据我院要求，随时改变其功能，点播、直播、信息发布功能随意切换，一屏多用，节省资源。</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支持各种多媒体档案格式，包含： MPEG-2, AVI, RMVB、WMV、DAT、 JPEG、 BMP、TXT、MP3等；支持网络上流行的各类格式，如RMVB、FLV；并能够很好的兼容后续的新的媒体格式；</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系统支持各类素材的分类管理，格式转换灵活，可对素材进行预览；</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支持提供常规节目模板库；管理员可自行设计制作模板，或在模板基础上进行定制修改形成新的模板，可以保存、复用；可以导入导出节目模板；</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可以简单而轻松地编辑和自动生成播放列表；一个节目可以排在一个时段、或连续多个时段播出，或全天播出同一节目。节目表一次可设定31天的播放内容；</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对所有显示终端设备进行有效的管理，包括IP管理、时间校对管理、显示终端分组管理等；</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对系统的用户及用户组、发布点及发布组、多级管理等功能进行权限的设置，以方便系统的管理及维护。</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播出单审核功能：系统具备播出单审核与预览功能，操作员编辑后的播出单，需要通过对应的审核员进行审核，审核后的播出单才能进行发布，审核部通过的进行打回，通过站内消息通知操作员。</w:t>
      </w:r>
    </w:p>
    <w:p>
      <w:pPr>
        <w:widowControl/>
        <w:numPr>
          <w:ilvl w:val="0"/>
          <w:numId w:val="7"/>
        </w:numPr>
        <w:spacing w:line="360" w:lineRule="auto"/>
        <w:jc w:val="left"/>
        <w:rPr>
          <w:rFonts w:ascii="宋体" w:hAnsi="宋体" w:eastAsia="宋体"/>
          <w:szCs w:val="24"/>
        </w:rPr>
      </w:pPr>
      <w:r>
        <w:rPr>
          <w:rFonts w:hint="eastAsia" w:ascii="宋体" w:hAnsi="宋体" w:eastAsia="宋体"/>
          <w:szCs w:val="24"/>
        </w:rPr>
        <w:t>实时查看各终端的网络联机状态监控其运行情况，提供播放日志，管理人员可以直接浏览、查询和导出。日志文件的数据包括播放文件的时间信息及次数、文件下载时间、开关机时间等等；</w:t>
      </w:r>
    </w:p>
    <w:p>
      <w:pPr>
        <w:widowControl/>
        <w:numPr>
          <w:ilvl w:val="0"/>
          <w:numId w:val="7"/>
        </w:numPr>
        <w:spacing w:line="360" w:lineRule="auto"/>
        <w:jc w:val="left"/>
        <w:rPr>
          <w:szCs w:val="24"/>
        </w:rPr>
      </w:pPr>
      <w:r>
        <w:rPr>
          <w:rFonts w:hint="eastAsia" w:ascii="宋体" w:hAnsi="宋体" w:eastAsia="宋体"/>
          <w:szCs w:val="24"/>
        </w:rPr>
        <w:t>支持远程设置终端的定时播放/音量/重启功能，当终端出现异常情况，系统可远程重启终端播放器，使之恢复正常。支持远程升级，可通过网络进行智能软件升级，无需到现场进行操作；可对所有终端实施分组管理模式，同一组的终端可以进行统一设置；</w:t>
      </w:r>
    </w:p>
    <w:p>
      <w:pPr>
        <w:pStyle w:val="6"/>
        <w:spacing w:line="413" w:lineRule="auto"/>
        <w:ind w:left="0" w:firstLine="0"/>
      </w:pPr>
      <w:bookmarkStart w:id="16" w:name="_Toc53656667"/>
      <w:r>
        <w:rPr>
          <w:rFonts w:hint="eastAsia"/>
        </w:rPr>
        <w:t>医技检查叫号需求</w:t>
      </w:r>
      <w:bookmarkEnd w:id="16"/>
    </w:p>
    <w:p>
      <w:pPr>
        <w:widowControl/>
        <w:numPr>
          <w:ilvl w:val="0"/>
          <w:numId w:val="8"/>
        </w:numPr>
        <w:spacing w:line="360" w:lineRule="auto"/>
        <w:ind w:left="561" w:hanging="560" w:hangingChars="267"/>
        <w:jc w:val="left"/>
        <w:rPr>
          <w:kern w:val="0"/>
        </w:rPr>
      </w:pPr>
      <w:bookmarkStart w:id="17" w:name="_Hlk53428337"/>
      <w:r>
        <w:rPr>
          <w:rFonts w:hint="eastAsia" w:ascii="宋体" w:hAnsi="宋体" w:eastAsia="宋体"/>
          <w:sz w:val="21"/>
          <w:szCs w:val="21"/>
        </w:rPr>
        <w:t>★</w:t>
      </w:r>
      <w:r>
        <w:rPr>
          <w:rFonts w:hint="eastAsia" w:ascii="宋体" w:hAnsi="宋体" w:cs="宋体"/>
          <w:szCs w:val="21"/>
        </w:rPr>
        <w:t>提供“医技检查叫号系统软件”软件著作权证书</w:t>
      </w:r>
    </w:p>
    <w:p>
      <w:pPr>
        <w:widowControl/>
        <w:numPr>
          <w:ilvl w:val="0"/>
          <w:numId w:val="8"/>
        </w:numPr>
        <w:spacing w:line="360" w:lineRule="auto"/>
        <w:ind w:left="641" w:hanging="640" w:hangingChars="267"/>
        <w:jc w:val="left"/>
        <w:rPr>
          <w:kern w:val="0"/>
        </w:rPr>
      </w:pPr>
      <w:r>
        <w:rPr>
          <w:rFonts w:hint="eastAsia"/>
          <w:kern w:val="0"/>
        </w:rPr>
        <w:t>系统支持过号患者与初检患者进行间隔呼叫的设定，设定规设定灵活简便。</w:t>
      </w:r>
    </w:p>
    <w:p>
      <w:pPr>
        <w:widowControl/>
        <w:numPr>
          <w:ilvl w:val="0"/>
          <w:numId w:val="8"/>
        </w:numPr>
        <w:spacing w:line="360" w:lineRule="auto"/>
        <w:ind w:left="641" w:hanging="640" w:hangingChars="267"/>
        <w:jc w:val="left"/>
        <w:rPr>
          <w:kern w:val="0"/>
        </w:rPr>
      </w:pPr>
      <w:r>
        <w:rPr>
          <w:rFonts w:hint="eastAsia"/>
          <w:kern w:val="0"/>
        </w:rPr>
        <w:t>支持护士操作预约和患者自助预约两种模式，预约平台要求操作简便，易学易用；</w:t>
      </w:r>
    </w:p>
    <w:p>
      <w:pPr>
        <w:widowControl/>
        <w:numPr>
          <w:ilvl w:val="0"/>
          <w:numId w:val="8"/>
        </w:numPr>
        <w:spacing w:line="360" w:lineRule="auto"/>
        <w:ind w:left="641" w:hanging="640" w:hangingChars="267"/>
        <w:jc w:val="left"/>
        <w:rPr>
          <w:kern w:val="0"/>
        </w:rPr>
      </w:pPr>
      <w:r>
        <w:rPr>
          <w:rFonts w:hint="eastAsia"/>
          <w:kern w:val="0"/>
        </w:rPr>
        <w:t>护士可为患者进行单次、多次预约，修改预约和取消预约等操作；</w:t>
      </w:r>
    </w:p>
    <w:p>
      <w:pPr>
        <w:widowControl/>
        <w:numPr>
          <w:ilvl w:val="0"/>
          <w:numId w:val="8"/>
        </w:numPr>
        <w:spacing w:line="360" w:lineRule="auto"/>
        <w:ind w:left="641" w:hanging="640" w:hangingChars="267"/>
        <w:jc w:val="left"/>
        <w:rPr>
          <w:kern w:val="0"/>
        </w:rPr>
      </w:pPr>
      <w:r>
        <w:rPr>
          <w:rFonts w:hint="eastAsia"/>
          <w:kern w:val="0"/>
        </w:rPr>
        <w:t>一天内单一检查项预约人数超出预警人数时，系统应有明显提示；单一检查项下的峰值可预设，也可以根据实际情况临时调整峰值。</w:t>
      </w:r>
    </w:p>
    <w:p>
      <w:pPr>
        <w:widowControl/>
        <w:numPr>
          <w:ilvl w:val="0"/>
          <w:numId w:val="8"/>
        </w:numPr>
        <w:spacing w:line="360" w:lineRule="auto"/>
        <w:ind w:left="641" w:hanging="640" w:hangingChars="267"/>
        <w:jc w:val="left"/>
        <w:rPr>
          <w:kern w:val="0"/>
        </w:rPr>
      </w:pPr>
      <w:r>
        <w:rPr>
          <w:rFonts w:hint="eastAsia"/>
          <w:kern w:val="0"/>
        </w:rPr>
        <w:t>预约完成后，患者可获得预约单，预约单上要求有患者姓名、年龄、检查项、预约日期、预约时间段、注意事项等。</w:t>
      </w:r>
    </w:p>
    <w:p>
      <w:pPr>
        <w:widowControl/>
        <w:numPr>
          <w:ilvl w:val="0"/>
          <w:numId w:val="8"/>
        </w:numPr>
        <w:spacing w:line="360" w:lineRule="auto"/>
        <w:ind w:left="641" w:hanging="640" w:hangingChars="267"/>
        <w:jc w:val="left"/>
        <w:rPr>
          <w:kern w:val="0"/>
        </w:rPr>
      </w:pPr>
      <w:r>
        <w:rPr>
          <w:rFonts w:hint="eastAsia"/>
          <w:kern w:val="0"/>
        </w:rPr>
        <w:t>住院病人、预约患者在预约时段内，需采用优先原则；</w:t>
      </w:r>
    </w:p>
    <w:p>
      <w:pPr>
        <w:widowControl/>
        <w:numPr>
          <w:ilvl w:val="0"/>
          <w:numId w:val="8"/>
        </w:numPr>
        <w:spacing w:line="360" w:lineRule="auto"/>
        <w:ind w:left="561" w:hanging="560" w:hangingChars="267"/>
        <w:jc w:val="left"/>
        <w:rPr>
          <w:kern w:val="0"/>
        </w:rPr>
      </w:pPr>
      <w:r>
        <w:rPr>
          <w:rFonts w:hint="eastAsia" w:ascii="宋体" w:hAnsi="宋体" w:eastAsia="宋体"/>
          <w:sz w:val="21"/>
          <w:szCs w:val="21"/>
        </w:rPr>
        <w:t>★</w:t>
      </w:r>
      <w:r>
        <w:rPr>
          <w:rFonts w:hint="eastAsia"/>
          <w:kern w:val="0"/>
        </w:rPr>
        <w:t>在患者有多个检查项的情况下，当其被一检查项呼叫到时，其他检查项状态为挂起装状态，待该患者完成当前检查后，其他检查项方可呼叫。</w:t>
      </w:r>
    </w:p>
    <w:p>
      <w:pPr>
        <w:widowControl/>
        <w:numPr>
          <w:ilvl w:val="0"/>
          <w:numId w:val="8"/>
        </w:numPr>
        <w:spacing w:line="360" w:lineRule="auto"/>
        <w:ind w:left="641" w:hanging="640" w:hangingChars="267"/>
        <w:jc w:val="left"/>
        <w:rPr>
          <w:kern w:val="0"/>
        </w:rPr>
      </w:pPr>
      <w:r>
        <w:rPr>
          <w:rFonts w:hint="eastAsia"/>
          <w:kern w:val="0"/>
        </w:rPr>
        <w:t>在患者不具备检查条件时，护士工作站软件可设置为挂起状态，待具备检查条件时，方可呼叫。</w:t>
      </w:r>
    </w:p>
    <w:p>
      <w:pPr>
        <w:widowControl/>
        <w:numPr>
          <w:ilvl w:val="0"/>
          <w:numId w:val="8"/>
        </w:numPr>
        <w:spacing w:line="360" w:lineRule="auto"/>
        <w:ind w:left="641" w:hanging="640" w:hangingChars="267"/>
        <w:jc w:val="left"/>
        <w:rPr>
          <w:kern w:val="0"/>
        </w:rPr>
      </w:pPr>
      <w:r>
        <w:rPr>
          <w:rFonts w:hint="eastAsia"/>
          <w:kern w:val="0"/>
        </w:rPr>
        <w:t>中午午休时间，系统可自动切换到信息发布显示，叫号屏播放医院自己的宣教片。</w:t>
      </w:r>
      <w:bookmarkEnd w:id="17"/>
    </w:p>
    <w:p>
      <w:pPr>
        <w:pStyle w:val="6"/>
        <w:spacing w:line="413" w:lineRule="auto"/>
        <w:ind w:left="0" w:firstLine="0"/>
      </w:pPr>
      <w:bookmarkStart w:id="18" w:name="_Toc53656668"/>
      <w:r>
        <w:rPr>
          <w:rFonts w:hint="eastAsia"/>
        </w:rPr>
        <w:t>医技检验叫号需求</w:t>
      </w:r>
      <w:bookmarkEnd w:id="18"/>
    </w:p>
    <w:p>
      <w:pPr>
        <w:widowControl/>
        <w:numPr>
          <w:ilvl w:val="0"/>
          <w:numId w:val="9"/>
        </w:numPr>
        <w:spacing w:line="360" w:lineRule="auto"/>
        <w:jc w:val="left"/>
        <w:rPr>
          <w:kern w:val="0"/>
        </w:rPr>
      </w:pPr>
      <w:bookmarkStart w:id="19" w:name="_Hlk53428198"/>
      <w:r>
        <w:rPr>
          <w:rFonts w:hint="eastAsia" w:ascii="宋体" w:hAnsi="宋体" w:eastAsia="宋体"/>
          <w:sz w:val="21"/>
          <w:szCs w:val="21"/>
        </w:rPr>
        <w:t>★提供</w:t>
      </w:r>
      <w:r>
        <w:rPr>
          <w:rFonts w:hint="eastAsia" w:ascii="宋体" w:hAnsi="宋体" w:cs="宋体"/>
          <w:szCs w:val="21"/>
        </w:rPr>
        <w:t>“医技检验叫号系统软件”软件著作权证书</w:t>
      </w:r>
    </w:p>
    <w:p>
      <w:pPr>
        <w:widowControl/>
        <w:numPr>
          <w:ilvl w:val="0"/>
          <w:numId w:val="9"/>
        </w:numPr>
        <w:spacing w:line="360" w:lineRule="auto"/>
        <w:jc w:val="left"/>
        <w:rPr>
          <w:kern w:val="0"/>
        </w:rPr>
      </w:pPr>
      <w:r>
        <w:rPr>
          <w:rFonts w:hint="eastAsia" w:ascii="宋体" w:hAnsi="宋体" w:eastAsia="宋体"/>
          <w:sz w:val="21"/>
          <w:szCs w:val="21"/>
        </w:rPr>
        <w:t>★</w:t>
      </w:r>
      <w:r>
        <w:rPr>
          <w:rFonts w:hint="eastAsia"/>
          <w:kern w:val="0"/>
        </w:rPr>
        <w:t>支持护士手动操作报到以及自动及人工混合报到三种模式</w:t>
      </w:r>
      <w:bookmarkEnd w:id="19"/>
      <w:r>
        <w:rPr>
          <w:rFonts w:hint="eastAsia"/>
          <w:kern w:val="0"/>
        </w:rPr>
        <w:t>；</w:t>
      </w:r>
    </w:p>
    <w:p>
      <w:pPr>
        <w:numPr>
          <w:ilvl w:val="0"/>
          <w:numId w:val="9"/>
        </w:numPr>
        <w:spacing w:line="360" w:lineRule="auto"/>
        <w:rPr>
          <w:kern w:val="24"/>
        </w:rPr>
      </w:pPr>
      <w:bookmarkStart w:id="20" w:name="_Hlk53428222"/>
      <w:r>
        <w:rPr>
          <w:rFonts w:hint="eastAsia"/>
          <w:kern w:val="24"/>
        </w:rPr>
        <w:t>在患者进行报到后，自动进入采血排队队列。采血窗口按照患者报到的顺序进行叫号，窗口屏幕语音呼叫并显示患者信息。</w:t>
      </w:r>
    </w:p>
    <w:bookmarkEnd w:id="20"/>
    <w:p>
      <w:pPr>
        <w:widowControl/>
        <w:numPr>
          <w:ilvl w:val="0"/>
          <w:numId w:val="9"/>
        </w:numPr>
        <w:spacing w:line="360" w:lineRule="auto"/>
        <w:jc w:val="left"/>
        <w:rPr>
          <w:kern w:val="0"/>
        </w:rPr>
      </w:pPr>
      <w:r>
        <w:rPr>
          <w:rFonts w:hint="eastAsia"/>
          <w:kern w:val="0"/>
        </w:rPr>
        <w:t>检验窗口可按业务划分，例如：</w:t>
      </w:r>
      <w:bookmarkStart w:id="21" w:name="_Hlk53428166"/>
      <w:r>
        <w:rPr>
          <w:rFonts w:hint="eastAsia"/>
          <w:kern w:val="0"/>
        </w:rPr>
        <w:t>静脉血窗口、末梢血窗口，成人采血窗口、儿童采血窗口等</w:t>
      </w:r>
      <w:bookmarkEnd w:id="21"/>
      <w:r>
        <w:rPr>
          <w:rFonts w:hint="eastAsia"/>
          <w:kern w:val="0"/>
        </w:rPr>
        <w:t>。</w:t>
      </w:r>
    </w:p>
    <w:p>
      <w:pPr>
        <w:widowControl/>
        <w:numPr>
          <w:ilvl w:val="0"/>
          <w:numId w:val="9"/>
        </w:numPr>
        <w:spacing w:line="360" w:lineRule="auto"/>
        <w:jc w:val="left"/>
        <w:rPr>
          <w:kern w:val="0"/>
        </w:rPr>
      </w:pPr>
      <w:bookmarkStart w:id="22" w:name="_Hlk53428252"/>
      <w:r>
        <w:rPr>
          <w:rFonts w:hint="eastAsia"/>
          <w:kern w:val="0"/>
        </w:rPr>
        <w:t>患者排队顺序以报到时间或者取号时间为准，支持过号患者优先机制。</w:t>
      </w:r>
    </w:p>
    <w:bookmarkEnd w:id="22"/>
    <w:p>
      <w:pPr>
        <w:widowControl/>
        <w:numPr>
          <w:ilvl w:val="0"/>
          <w:numId w:val="9"/>
        </w:numPr>
        <w:spacing w:line="360" w:lineRule="auto"/>
        <w:jc w:val="left"/>
        <w:rPr>
          <w:kern w:val="0"/>
        </w:rPr>
      </w:pPr>
      <w:bookmarkStart w:id="23" w:name="_Hlk53428265"/>
      <w:r>
        <w:rPr>
          <w:rFonts w:hint="eastAsia"/>
          <w:kern w:val="0"/>
        </w:rPr>
        <w:t>支持特殊患者多次采血呼叫，例如第一次采血完毕，在可设定时间后可再次进入队列并优先。</w:t>
      </w:r>
    </w:p>
    <w:bookmarkEnd w:id="23"/>
    <w:p>
      <w:pPr>
        <w:widowControl/>
        <w:numPr>
          <w:ilvl w:val="0"/>
          <w:numId w:val="9"/>
        </w:numPr>
        <w:spacing w:line="360" w:lineRule="auto"/>
        <w:jc w:val="left"/>
        <w:rPr>
          <w:kern w:val="0"/>
        </w:rPr>
      </w:pPr>
      <w:bookmarkStart w:id="24" w:name="_Hlk53428278"/>
      <w:r>
        <w:rPr>
          <w:rFonts w:hint="eastAsia" w:ascii="宋体" w:hAnsi="宋体" w:eastAsia="宋体"/>
          <w:sz w:val="21"/>
          <w:szCs w:val="21"/>
        </w:rPr>
        <w:t>★</w:t>
      </w:r>
      <w:r>
        <w:rPr>
          <w:rFonts w:hint="eastAsia"/>
          <w:kern w:val="0"/>
        </w:rPr>
        <w:t>部分无医生工作站采血窗口应支持物理呼叫设备。</w:t>
      </w:r>
    </w:p>
    <w:bookmarkEnd w:id="24"/>
    <w:p>
      <w:pPr>
        <w:widowControl/>
        <w:numPr>
          <w:ilvl w:val="0"/>
          <w:numId w:val="9"/>
        </w:numPr>
        <w:spacing w:line="360" w:lineRule="auto"/>
        <w:jc w:val="left"/>
        <w:rPr>
          <w:kern w:val="0"/>
        </w:rPr>
      </w:pPr>
      <w:bookmarkStart w:id="25" w:name="_Hlk53428290"/>
      <w:r>
        <w:rPr>
          <w:rFonts w:hint="eastAsia"/>
          <w:kern w:val="0"/>
        </w:rPr>
        <w:t>中午午休时间，系统可自动切换到信息发布显示，叫号屏播放医院自己的宣教片。</w:t>
      </w:r>
      <w:bookmarkEnd w:id="25"/>
    </w:p>
    <w:p>
      <w:pPr>
        <w:pStyle w:val="6"/>
        <w:spacing w:line="413" w:lineRule="auto"/>
        <w:ind w:left="0" w:firstLine="0"/>
      </w:pPr>
      <w:bookmarkStart w:id="26" w:name="_Toc53656669"/>
      <w:r>
        <w:rPr>
          <w:rFonts w:hint="eastAsia"/>
        </w:rPr>
        <w:t>护士站分诊台管理软件</w:t>
      </w:r>
      <w:bookmarkEnd w:id="26"/>
      <w:bookmarkStart w:id="27" w:name="_Hlk53429177"/>
    </w:p>
    <w:p>
      <w:pPr>
        <w:widowControl/>
        <w:numPr>
          <w:ilvl w:val="0"/>
          <w:numId w:val="10"/>
        </w:numPr>
        <w:spacing w:line="360" w:lineRule="auto"/>
        <w:jc w:val="left"/>
        <w:rPr>
          <w:kern w:val="0"/>
        </w:rPr>
      </w:pPr>
      <w:r>
        <w:rPr>
          <w:rFonts w:hint="eastAsia" w:ascii="宋体" w:hAnsi="宋体" w:eastAsia="宋体"/>
          <w:sz w:val="21"/>
          <w:szCs w:val="21"/>
        </w:rPr>
        <w:t>★提供</w:t>
      </w:r>
      <w:r>
        <w:rPr>
          <w:rFonts w:hint="eastAsia" w:ascii="宋体" w:hAnsi="宋体" w:cs="宋体"/>
          <w:szCs w:val="21"/>
        </w:rPr>
        <w:t>“护士分诊台管理软件”软件著作权证书</w:t>
      </w:r>
    </w:p>
    <w:p>
      <w:pPr>
        <w:widowControl/>
        <w:numPr>
          <w:ilvl w:val="0"/>
          <w:numId w:val="10"/>
        </w:numPr>
        <w:spacing w:line="360" w:lineRule="auto"/>
        <w:jc w:val="left"/>
        <w:rPr>
          <w:kern w:val="0"/>
        </w:rPr>
      </w:pPr>
      <w:r>
        <w:rPr>
          <w:rFonts w:hint="eastAsia"/>
          <w:kern w:val="0"/>
        </w:rPr>
        <w:t>支持查看当前诊区的每个队列叫号情况（如：排队队列名称、候诊人数、已就诊人数、未到过号人数、当前队列最后一次呼叫的患者姓名、排队序号、呼叫医生或诊位、叫号时间等）</w:t>
      </w:r>
    </w:p>
    <w:bookmarkEnd w:id="27"/>
    <w:p>
      <w:pPr>
        <w:widowControl/>
        <w:numPr>
          <w:ilvl w:val="0"/>
          <w:numId w:val="10"/>
        </w:numPr>
        <w:spacing w:line="360" w:lineRule="auto"/>
        <w:jc w:val="left"/>
        <w:rPr>
          <w:kern w:val="0"/>
        </w:rPr>
      </w:pPr>
      <w:bookmarkStart w:id="28" w:name="_Hlk53429205"/>
      <w:r>
        <w:rPr>
          <w:rFonts w:hint="eastAsia"/>
          <w:kern w:val="0"/>
        </w:rPr>
        <w:t>支持同步HIS系统中医生排班数据，并支持临时手动调整功能；支持编辑周期内医生排班功能，并支持对医生每天出诊情况进行手动调整；</w:t>
      </w:r>
    </w:p>
    <w:bookmarkEnd w:id="28"/>
    <w:p>
      <w:pPr>
        <w:numPr>
          <w:ilvl w:val="0"/>
          <w:numId w:val="10"/>
        </w:numPr>
        <w:spacing w:line="360" w:lineRule="auto"/>
        <w:rPr>
          <w:color w:val="000000"/>
        </w:rPr>
      </w:pPr>
      <w:bookmarkStart w:id="29" w:name="_Hlk53429146"/>
      <w:r>
        <w:rPr>
          <w:rFonts w:hint="eastAsia" w:ascii="宋体" w:hAnsi="宋体" w:eastAsia="宋体"/>
          <w:sz w:val="21"/>
          <w:szCs w:val="21"/>
        </w:rPr>
        <w:t>★</w:t>
      </w:r>
      <w:r>
        <w:rPr>
          <w:rFonts w:hint="eastAsia"/>
          <w:color w:val="000000"/>
        </w:rPr>
        <w:t>可以</w:t>
      </w:r>
      <w:bookmarkStart w:id="30" w:name="_Hlk53429231"/>
      <w:r>
        <w:rPr>
          <w:rFonts w:hint="eastAsia"/>
          <w:color w:val="000000"/>
        </w:rPr>
        <w:t>查看某检查项的排队信息，包含剩余号量、等候人数、过号人数、预约未报到人数，以及个患者的排队检查信息。同时可以为患者做“优先”、“暂停”、“调号”等操作。</w:t>
      </w:r>
      <w:bookmarkEnd w:id="30"/>
    </w:p>
    <w:bookmarkEnd w:id="29"/>
    <w:p>
      <w:pPr>
        <w:widowControl/>
        <w:numPr>
          <w:ilvl w:val="0"/>
          <w:numId w:val="10"/>
        </w:numPr>
        <w:spacing w:line="360" w:lineRule="auto"/>
        <w:jc w:val="left"/>
        <w:rPr>
          <w:kern w:val="0"/>
        </w:rPr>
      </w:pPr>
      <w:r>
        <w:rPr>
          <w:rFonts w:hint="eastAsia" w:ascii="宋体" w:hAnsi="宋体" w:eastAsia="宋体"/>
          <w:sz w:val="21"/>
          <w:szCs w:val="21"/>
        </w:rPr>
        <w:t>★</w:t>
      </w:r>
      <w:r>
        <w:rPr>
          <w:rFonts w:hint="eastAsia"/>
          <w:kern w:val="0"/>
        </w:rPr>
        <w:t>支持刷卡（含身份证）、扫描条码、手工录入等多种方式进行初诊患者签到、复诊患者二次签到、过号患者再报到、患者状态查询、患者排序调号、患者预约等；；</w:t>
      </w:r>
    </w:p>
    <w:p>
      <w:pPr>
        <w:widowControl/>
        <w:numPr>
          <w:ilvl w:val="0"/>
          <w:numId w:val="10"/>
        </w:numPr>
        <w:spacing w:line="360" w:lineRule="auto"/>
        <w:jc w:val="left"/>
        <w:rPr>
          <w:kern w:val="0"/>
        </w:rPr>
      </w:pPr>
      <w:bookmarkStart w:id="31" w:name="_Hlk53429116"/>
      <w:r>
        <w:rPr>
          <w:rFonts w:hint="eastAsia"/>
          <w:kern w:val="0"/>
        </w:rPr>
        <w:t>早间高峰期患者突增情况下，分诊台软件须支持自动报到和手动批量报到机制，避免患者拥堵分诊台签到，降低排队护士工作量；</w:t>
      </w:r>
    </w:p>
    <w:bookmarkEnd w:id="31"/>
    <w:p>
      <w:pPr>
        <w:widowControl/>
        <w:numPr>
          <w:ilvl w:val="0"/>
          <w:numId w:val="10"/>
        </w:numPr>
        <w:spacing w:line="360" w:lineRule="auto"/>
        <w:jc w:val="left"/>
        <w:rPr>
          <w:kern w:val="0"/>
        </w:rPr>
      </w:pPr>
      <w:r>
        <w:rPr>
          <w:rFonts w:hint="eastAsia" w:ascii="宋体" w:hAnsi="宋体" w:eastAsia="宋体"/>
          <w:sz w:val="21"/>
          <w:szCs w:val="21"/>
        </w:rPr>
        <w:t>★</w:t>
      </w:r>
      <w:r>
        <w:rPr>
          <w:rFonts w:hint="eastAsia"/>
          <w:kern w:val="0"/>
        </w:rPr>
        <w:t>在普通号情况下，分诊台系统须支持将患者手动分配至指定医生或诊室下排队候诊；</w:t>
      </w:r>
    </w:p>
    <w:p>
      <w:pPr>
        <w:widowControl/>
        <w:numPr>
          <w:ilvl w:val="0"/>
          <w:numId w:val="10"/>
        </w:numPr>
        <w:spacing w:line="360" w:lineRule="auto"/>
        <w:jc w:val="left"/>
        <w:rPr>
          <w:kern w:val="0"/>
        </w:rPr>
      </w:pPr>
      <w:r>
        <w:rPr>
          <w:rFonts w:hint="eastAsia"/>
          <w:kern w:val="0"/>
        </w:rPr>
        <w:t>支持同一诊区下转诊功能，可将患者从一个队列转到另一个队列排队；</w:t>
      </w:r>
    </w:p>
    <w:p>
      <w:pPr>
        <w:widowControl/>
        <w:numPr>
          <w:ilvl w:val="0"/>
          <w:numId w:val="10"/>
        </w:numPr>
        <w:spacing w:line="360" w:lineRule="auto"/>
        <w:jc w:val="left"/>
        <w:rPr>
          <w:kern w:val="0"/>
        </w:rPr>
      </w:pPr>
      <w:r>
        <w:rPr>
          <w:rFonts w:hint="eastAsia"/>
          <w:kern w:val="0"/>
        </w:rPr>
        <w:t>患者在一个诊区有多个检查项时，系统须支持一次报到操作即进入多个检查项队列的功能，要求具备一个检查项呼叫患者，其他检查项自动暂停对该名患者进行呼叫，当患者其中一个检查项诊结完毕时，其他未间项再对患者进行呼叫，避免过号产生；</w:t>
      </w:r>
    </w:p>
    <w:p>
      <w:pPr>
        <w:widowControl/>
        <w:numPr>
          <w:ilvl w:val="0"/>
          <w:numId w:val="10"/>
        </w:numPr>
        <w:spacing w:line="360" w:lineRule="auto"/>
        <w:jc w:val="left"/>
        <w:rPr>
          <w:kern w:val="0"/>
        </w:rPr>
      </w:pPr>
      <w:r>
        <w:rPr>
          <w:rFonts w:hint="eastAsia"/>
          <w:kern w:val="0"/>
        </w:rPr>
        <w:t>系统须支持延迟呼叫，例如在检查、检验科室，当患者暂时不满足检查、检验条件时，护士可对患者进行延迟就诊操作，延迟时长可自定义，时间截止时，自动取消患者延迟状态，也可以通过护士手动取消患者延迟状态</w:t>
      </w:r>
    </w:p>
    <w:p>
      <w:pPr>
        <w:widowControl/>
        <w:numPr>
          <w:ilvl w:val="0"/>
          <w:numId w:val="10"/>
        </w:numPr>
        <w:spacing w:line="360" w:lineRule="auto"/>
        <w:jc w:val="left"/>
        <w:rPr>
          <w:kern w:val="0"/>
        </w:rPr>
      </w:pPr>
      <w:r>
        <w:rPr>
          <w:rFonts w:hint="eastAsia" w:ascii="宋体" w:hAnsi="宋体" w:eastAsia="宋体"/>
          <w:sz w:val="21"/>
          <w:szCs w:val="21"/>
        </w:rPr>
        <w:t>★</w:t>
      </w:r>
      <w:r>
        <w:rPr>
          <w:rFonts w:hint="eastAsia"/>
          <w:kern w:val="0"/>
        </w:rPr>
        <w:t>支持复诊（回诊）患者签到再次进入队列功能，同时可根据需求设置复诊插队策略，例如：优先插队、间隔插队；</w:t>
      </w:r>
    </w:p>
    <w:p>
      <w:pPr>
        <w:widowControl/>
        <w:numPr>
          <w:ilvl w:val="0"/>
          <w:numId w:val="10"/>
        </w:numPr>
        <w:spacing w:line="360" w:lineRule="auto"/>
        <w:jc w:val="left"/>
        <w:rPr>
          <w:kern w:val="0"/>
        </w:rPr>
      </w:pPr>
      <w:bookmarkStart w:id="32" w:name="_Hlk53429280"/>
      <w:r>
        <w:rPr>
          <w:rFonts w:hint="eastAsia"/>
          <w:kern w:val="0"/>
        </w:rPr>
        <w:t>支持绿色通道（弃号）功能，可不经叫号直接就诊；</w:t>
      </w:r>
    </w:p>
    <w:bookmarkEnd w:id="32"/>
    <w:p>
      <w:pPr>
        <w:widowControl/>
        <w:numPr>
          <w:ilvl w:val="0"/>
          <w:numId w:val="10"/>
        </w:numPr>
        <w:spacing w:line="360" w:lineRule="auto"/>
        <w:jc w:val="left"/>
        <w:rPr>
          <w:kern w:val="0"/>
        </w:rPr>
      </w:pPr>
      <w:r>
        <w:rPr>
          <w:rFonts w:hint="eastAsia"/>
          <w:kern w:val="0"/>
        </w:rPr>
        <w:t>系统支持记录护士上一步操作功能，主界面位置显示上一步护士操作信息；</w:t>
      </w:r>
    </w:p>
    <w:p>
      <w:pPr>
        <w:widowControl/>
        <w:numPr>
          <w:ilvl w:val="0"/>
          <w:numId w:val="10"/>
        </w:numPr>
        <w:spacing w:line="360" w:lineRule="auto"/>
        <w:jc w:val="left"/>
      </w:pPr>
      <w:r>
        <w:rPr>
          <w:rFonts w:hint="eastAsia"/>
          <w:kern w:val="0"/>
        </w:rPr>
        <w:t>软件支持密码登录功能，防止其他人员误操作。</w:t>
      </w:r>
    </w:p>
    <w:p>
      <w:pPr>
        <w:pStyle w:val="6"/>
        <w:spacing w:line="413" w:lineRule="auto"/>
        <w:ind w:left="0" w:firstLine="0"/>
      </w:pPr>
      <w:bookmarkStart w:id="33" w:name="_Toc53656670"/>
      <w:r>
        <w:rPr>
          <w:rFonts w:hint="eastAsia"/>
        </w:rPr>
        <w:t>医生工作站叫号软件</w:t>
      </w:r>
      <w:bookmarkEnd w:id="33"/>
    </w:p>
    <w:p>
      <w:pPr>
        <w:widowControl/>
        <w:numPr>
          <w:ilvl w:val="0"/>
          <w:numId w:val="11"/>
        </w:numPr>
        <w:spacing w:line="360" w:lineRule="auto"/>
        <w:jc w:val="left"/>
        <w:rPr>
          <w:kern w:val="0"/>
        </w:rPr>
      </w:pPr>
      <w:r>
        <w:rPr>
          <w:rFonts w:hint="eastAsia" w:ascii="宋体" w:hAnsi="宋体" w:eastAsia="宋体"/>
          <w:sz w:val="21"/>
          <w:szCs w:val="21"/>
        </w:rPr>
        <w:t>★提供</w:t>
      </w:r>
      <w:r>
        <w:rPr>
          <w:rFonts w:hint="eastAsia" w:ascii="宋体" w:hAnsi="宋体" w:cs="宋体"/>
          <w:szCs w:val="21"/>
        </w:rPr>
        <w:t>“医生工作站叫号软件”软件著作权证书</w:t>
      </w:r>
    </w:p>
    <w:p>
      <w:pPr>
        <w:widowControl/>
        <w:numPr>
          <w:ilvl w:val="0"/>
          <w:numId w:val="11"/>
        </w:numPr>
        <w:spacing w:line="360" w:lineRule="auto"/>
        <w:jc w:val="left"/>
        <w:rPr>
          <w:kern w:val="0"/>
        </w:rPr>
      </w:pPr>
      <w:r>
        <w:rPr>
          <w:rFonts w:hint="eastAsia"/>
          <w:kern w:val="0"/>
        </w:rPr>
        <w:t>支持医生ID号登录；</w:t>
      </w:r>
    </w:p>
    <w:p>
      <w:pPr>
        <w:widowControl/>
        <w:numPr>
          <w:ilvl w:val="0"/>
          <w:numId w:val="11"/>
        </w:numPr>
        <w:spacing w:line="360" w:lineRule="auto"/>
        <w:jc w:val="left"/>
        <w:rPr>
          <w:kern w:val="0"/>
        </w:rPr>
      </w:pPr>
      <w:r>
        <w:rPr>
          <w:rFonts w:hint="eastAsia"/>
          <w:kern w:val="0"/>
        </w:rPr>
        <w:t>支持顺序呼叫、选择呼叫、扫描呼叫等三种呼叫方式；</w:t>
      </w:r>
    </w:p>
    <w:p>
      <w:pPr>
        <w:widowControl/>
        <w:numPr>
          <w:ilvl w:val="0"/>
          <w:numId w:val="11"/>
        </w:numPr>
        <w:spacing w:line="360" w:lineRule="auto"/>
        <w:jc w:val="left"/>
        <w:rPr>
          <w:kern w:val="0"/>
        </w:rPr>
      </w:pPr>
      <w:r>
        <w:rPr>
          <w:rFonts w:hint="eastAsia"/>
          <w:kern w:val="0"/>
        </w:rPr>
        <w:t>支持叫号、重呼、选呼三种呼叫方式；支持过号（呼叫未到）、诊结两种结束状态；支持暂离、停诊等状态切换；</w:t>
      </w:r>
    </w:p>
    <w:p>
      <w:pPr>
        <w:widowControl/>
        <w:numPr>
          <w:ilvl w:val="0"/>
          <w:numId w:val="11"/>
        </w:numPr>
        <w:spacing w:line="360" w:lineRule="auto"/>
        <w:jc w:val="left"/>
        <w:rPr>
          <w:kern w:val="0"/>
        </w:rPr>
      </w:pPr>
      <w:r>
        <w:rPr>
          <w:rFonts w:hint="eastAsia"/>
          <w:kern w:val="0"/>
        </w:rPr>
        <w:t>支持过号（呼叫未到）患者按规则自动重排，并可在后台统一设定诊区过号自动重排的次数；支持可选择呼叫过号患者就诊功能。</w:t>
      </w:r>
    </w:p>
    <w:p>
      <w:pPr>
        <w:widowControl/>
        <w:numPr>
          <w:ilvl w:val="0"/>
          <w:numId w:val="11"/>
        </w:numPr>
        <w:spacing w:line="360" w:lineRule="auto"/>
        <w:jc w:val="left"/>
        <w:rPr>
          <w:kern w:val="0"/>
        </w:rPr>
      </w:pPr>
      <w:r>
        <w:rPr>
          <w:rFonts w:hint="eastAsia" w:ascii="宋体" w:hAnsi="宋体" w:eastAsia="宋体"/>
          <w:sz w:val="21"/>
          <w:szCs w:val="21"/>
        </w:rPr>
        <w:t>★</w:t>
      </w:r>
      <w:r>
        <w:rPr>
          <w:rFonts w:hint="eastAsia"/>
          <w:kern w:val="0"/>
        </w:rPr>
        <w:t>医生同时出诊多队列时,可自行设定多队列的呼叫策略；</w:t>
      </w:r>
    </w:p>
    <w:p>
      <w:pPr>
        <w:widowControl/>
        <w:numPr>
          <w:ilvl w:val="0"/>
          <w:numId w:val="11"/>
        </w:numPr>
        <w:spacing w:line="360" w:lineRule="auto"/>
        <w:jc w:val="left"/>
        <w:rPr>
          <w:kern w:val="0"/>
        </w:rPr>
      </w:pPr>
      <w:r>
        <w:rPr>
          <w:rFonts w:hint="eastAsia"/>
          <w:kern w:val="0"/>
        </w:rPr>
        <w:t>支持功能按钮快捷键方式，可自定义设置快捷键；</w:t>
      </w:r>
    </w:p>
    <w:p>
      <w:pPr>
        <w:widowControl/>
        <w:numPr>
          <w:ilvl w:val="0"/>
          <w:numId w:val="11"/>
        </w:numPr>
        <w:spacing w:line="360" w:lineRule="auto"/>
        <w:jc w:val="left"/>
        <w:rPr>
          <w:kern w:val="0"/>
        </w:rPr>
      </w:pPr>
      <w:r>
        <w:rPr>
          <w:rFonts w:hint="eastAsia"/>
          <w:kern w:val="0"/>
        </w:rPr>
        <w:t>支持无等候患者状态下，新患者签到提醒；</w:t>
      </w:r>
    </w:p>
    <w:p>
      <w:pPr>
        <w:widowControl/>
        <w:numPr>
          <w:ilvl w:val="0"/>
          <w:numId w:val="11"/>
        </w:numPr>
        <w:spacing w:line="360" w:lineRule="auto"/>
        <w:jc w:val="left"/>
        <w:rPr>
          <w:kern w:val="0"/>
        </w:rPr>
      </w:pPr>
      <w:r>
        <w:rPr>
          <w:rFonts w:hint="eastAsia"/>
          <w:kern w:val="0"/>
        </w:rPr>
        <w:t>支持悬浮窗及自动停靠；</w:t>
      </w:r>
    </w:p>
    <w:p>
      <w:pPr>
        <w:widowControl/>
        <w:numPr>
          <w:ilvl w:val="0"/>
          <w:numId w:val="11"/>
        </w:numPr>
        <w:spacing w:line="360" w:lineRule="auto"/>
        <w:jc w:val="left"/>
        <w:rPr>
          <w:kern w:val="0"/>
        </w:rPr>
      </w:pPr>
      <w:r>
        <w:rPr>
          <w:rFonts w:hint="eastAsia" w:ascii="宋体" w:hAnsi="宋体" w:eastAsia="宋体"/>
          <w:sz w:val="21"/>
          <w:szCs w:val="21"/>
        </w:rPr>
        <w:t>★</w:t>
      </w:r>
      <w:r>
        <w:rPr>
          <w:rFonts w:hint="eastAsia"/>
          <w:kern w:val="0"/>
        </w:rPr>
        <w:t>同一患者排多个队列，被呼叫时其他队列自动挂起，诊结后自动恢复等候状态。</w:t>
      </w:r>
    </w:p>
    <w:p>
      <w:pPr>
        <w:widowControl/>
        <w:numPr>
          <w:ilvl w:val="0"/>
          <w:numId w:val="11"/>
        </w:numPr>
        <w:spacing w:line="360" w:lineRule="auto"/>
        <w:jc w:val="left"/>
        <w:rPr>
          <w:kern w:val="0"/>
        </w:rPr>
      </w:pPr>
      <w:r>
        <w:rPr>
          <w:rFonts w:hint="eastAsia"/>
          <w:kern w:val="0"/>
        </w:rPr>
        <w:t>可显示当前呼叫患者检查项目；</w:t>
      </w:r>
    </w:p>
    <w:p>
      <w:pPr>
        <w:pStyle w:val="6"/>
        <w:spacing w:line="413" w:lineRule="auto"/>
        <w:ind w:left="0" w:firstLine="0"/>
      </w:pPr>
      <w:bookmarkStart w:id="34" w:name="_Toc53656671"/>
      <w:r>
        <w:rPr>
          <w:rFonts w:hint="eastAsia"/>
        </w:rPr>
        <w:t>信息显示客户端软件</w:t>
      </w:r>
      <w:bookmarkEnd w:id="34"/>
    </w:p>
    <w:p>
      <w:pPr>
        <w:widowControl/>
        <w:numPr>
          <w:ilvl w:val="0"/>
          <w:numId w:val="12"/>
        </w:numPr>
        <w:spacing w:line="360" w:lineRule="auto"/>
        <w:jc w:val="left"/>
        <w:rPr>
          <w:kern w:val="0"/>
        </w:rPr>
      </w:pPr>
      <w:bookmarkStart w:id="35" w:name="_Hlk53429609"/>
      <w:r>
        <w:rPr>
          <w:rFonts w:hint="eastAsia"/>
          <w:kern w:val="0"/>
        </w:rPr>
        <w:t>每个</w:t>
      </w:r>
      <w:r>
        <w:rPr>
          <w:kern w:val="0"/>
        </w:rPr>
        <w:t>终端需具备证书授权功能</w:t>
      </w:r>
      <w:r>
        <w:rPr>
          <w:rFonts w:hint="eastAsia"/>
          <w:kern w:val="0"/>
        </w:rPr>
        <w:t>，</w:t>
      </w:r>
      <w:r>
        <w:rPr>
          <w:kern w:val="0"/>
        </w:rPr>
        <w:t>防止内容篡改</w:t>
      </w:r>
      <w:r>
        <w:rPr>
          <w:rFonts w:hint="eastAsia"/>
          <w:kern w:val="0"/>
        </w:rPr>
        <w:t>，保证稳定发布。</w:t>
      </w:r>
    </w:p>
    <w:p>
      <w:pPr>
        <w:widowControl/>
        <w:numPr>
          <w:ilvl w:val="0"/>
          <w:numId w:val="12"/>
        </w:numPr>
        <w:spacing w:line="360" w:lineRule="auto"/>
        <w:jc w:val="left"/>
        <w:rPr>
          <w:kern w:val="0"/>
        </w:rPr>
      </w:pPr>
      <w:r>
        <w:rPr>
          <w:rFonts w:hint="eastAsia"/>
          <w:kern w:val="0"/>
        </w:rPr>
        <w:t>支持基于HTTP、RTSP、UDP等各类流媒体协议的视频流接收及播放，可以设定缓冲，支持多终端同步播放；</w:t>
      </w:r>
    </w:p>
    <w:p>
      <w:pPr>
        <w:widowControl/>
        <w:numPr>
          <w:ilvl w:val="0"/>
          <w:numId w:val="12"/>
        </w:numPr>
        <w:spacing w:line="360" w:lineRule="auto"/>
        <w:jc w:val="left"/>
      </w:pPr>
      <w:r>
        <w:rPr>
          <w:rFonts w:hint="eastAsia"/>
          <w:kern w:val="0"/>
        </w:rPr>
        <w:t>应具备接收来自系统的播放时间端数据，基于硬件的RTC时钟设计，进行终端的起动、关闭进入低功耗模式等操作动作。</w:t>
      </w:r>
      <w:bookmarkEnd w:id="35"/>
    </w:p>
    <w:p>
      <w:pPr>
        <w:pStyle w:val="6"/>
        <w:spacing w:line="413" w:lineRule="auto"/>
        <w:ind w:left="0" w:firstLine="0"/>
      </w:pPr>
      <w:bookmarkStart w:id="36" w:name="_Toc53656672"/>
      <w:r>
        <w:rPr>
          <w:rFonts w:hint="eastAsia"/>
        </w:rPr>
        <w:t>语音平台库软件</w:t>
      </w:r>
      <w:bookmarkEnd w:id="36"/>
    </w:p>
    <w:p>
      <w:pPr>
        <w:widowControl/>
        <w:numPr>
          <w:ilvl w:val="0"/>
          <w:numId w:val="12"/>
        </w:numPr>
        <w:spacing w:line="360" w:lineRule="auto"/>
        <w:jc w:val="left"/>
        <w:rPr>
          <w:kern w:val="0"/>
        </w:rPr>
      </w:pPr>
      <w:r>
        <w:rPr>
          <w:rFonts w:hint="eastAsia"/>
          <w:kern w:val="0"/>
        </w:rPr>
        <w:t>系统应具备按照不同诊区播放不同呼叫信息；</w:t>
      </w:r>
    </w:p>
    <w:p>
      <w:pPr>
        <w:widowControl/>
        <w:numPr>
          <w:ilvl w:val="0"/>
          <w:numId w:val="12"/>
        </w:numPr>
        <w:spacing w:line="360" w:lineRule="auto"/>
        <w:jc w:val="left"/>
        <w:rPr>
          <w:kern w:val="0"/>
        </w:rPr>
      </w:pPr>
      <w:r>
        <w:rPr>
          <w:rFonts w:hint="eastAsia"/>
          <w:kern w:val="0"/>
        </w:rPr>
        <w:t>语音播报软件应具备全语音库的语音呼叫功能，支持文本内容(中、英文、数字)自动语音合成与播报，排队叫号信息可自动合成为语音信息播放；</w:t>
      </w:r>
    </w:p>
    <w:p>
      <w:pPr>
        <w:widowControl/>
        <w:numPr>
          <w:ilvl w:val="0"/>
          <w:numId w:val="12"/>
        </w:numPr>
        <w:spacing w:line="360" w:lineRule="auto"/>
        <w:jc w:val="left"/>
        <w:rPr>
          <w:kern w:val="0"/>
        </w:rPr>
      </w:pPr>
      <w:r>
        <w:rPr>
          <w:rFonts w:hint="eastAsia"/>
          <w:kern w:val="0"/>
        </w:rPr>
        <w:t>可设定语音（男、女声）、语速、音调；</w:t>
      </w:r>
    </w:p>
    <w:p>
      <w:pPr>
        <w:widowControl/>
        <w:numPr>
          <w:ilvl w:val="0"/>
          <w:numId w:val="12"/>
        </w:numPr>
        <w:spacing w:line="360" w:lineRule="auto"/>
        <w:jc w:val="left"/>
      </w:pPr>
      <w:bookmarkStart w:id="37" w:name="_Hlk53428661"/>
      <w:r>
        <w:rPr>
          <w:rFonts w:hint="eastAsia"/>
          <w:kern w:val="0"/>
        </w:rPr>
        <w:t>语音默认要求为女声普通话，且语音清晰、流畅、无噪音、声音感受效果良好</w:t>
      </w:r>
      <w:bookmarkEnd w:id="37"/>
      <w:r>
        <w:rPr>
          <w:rFonts w:hint="eastAsia"/>
          <w:kern w:val="0"/>
        </w:rPr>
        <w:t>。</w:t>
      </w:r>
    </w:p>
    <w:p>
      <w:pPr>
        <w:pStyle w:val="6"/>
        <w:spacing w:line="413" w:lineRule="auto"/>
        <w:ind w:left="0" w:firstLine="0"/>
      </w:pPr>
      <w:bookmarkStart w:id="38" w:name="_Toc53656673"/>
      <w:r>
        <w:rPr>
          <w:rFonts w:hint="eastAsia"/>
        </w:rPr>
        <w:t>系统数据接口</w:t>
      </w:r>
      <w:bookmarkEnd w:id="38"/>
    </w:p>
    <w:p>
      <w:pPr>
        <w:widowControl/>
        <w:numPr>
          <w:ilvl w:val="0"/>
          <w:numId w:val="13"/>
        </w:numPr>
        <w:spacing w:line="360" w:lineRule="auto"/>
        <w:ind w:left="1040" w:hanging="560"/>
        <w:jc w:val="left"/>
        <w:rPr>
          <w:kern w:val="0"/>
        </w:rPr>
      </w:pPr>
      <w:r>
        <w:rPr>
          <w:rFonts w:hint="eastAsia"/>
          <w:kern w:val="0"/>
        </w:rPr>
        <w:t>可根据实际项目具体需求，对医院HIS系统厂商开放供货方数据库，允许合作方对数据库直接操作。</w:t>
      </w:r>
    </w:p>
    <w:p>
      <w:pPr>
        <w:widowControl/>
        <w:numPr>
          <w:ilvl w:val="0"/>
          <w:numId w:val="13"/>
        </w:numPr>
        <w:spacing w:line="360" w:lineRule="auto"/>
        <w:ind w:left="1040" w:hanging="560"/>
        <w:jc w:val="left"/>
        <w:rPr>
          <w:kern w:val="0"/>
        </w:rPr>
      </w:pPr>
      <w:r>
        <w:rPr>
          <w:rFonts w:hint="eastAsia"/>
          <w:kern w:val="0"/>
        </w:rPr>
        <w:t>可提供同等规模同类项目系统接口范例；</w:t>
      </w:r>
    </w:p>
    <w:p>
      <w:pPr>
        <w:widowControl/>
        <w:numPr>
          <w:ilvl w:val="0"/>
          <w:numId w:val="13"/>
        </w:numPr>
        <w:spacing w:line="360" w:lineRule="auto"/>
        <w:ind w:left="1040" w:hanging="560"/>
        <w:jc w:val="left"/>
        <w:rPr>
          <w:rFonts w:ascii="宋体" w:hAnsi="宋体"/>
        </w:rPr>
      </w:pPr>
      <w:r>
        <w:rPr>
          <w:rFonts w:hint="eastAsia"/>
          <w:kern w:val="0"/>
        </w:rPr>
        <w:t>支持数据库视图、中间表、Web service、SOCKET、DLL调用、webapi等多方式实现与HIS系统及其他信息系统的数据交换；</w:t>
      </w:r>
    </w:p>
    <w:p>
      <w:pPr>
        <w:pStyle w:val="6"/>
        <w:spacing w:line="413" w:lineRule="auto"/>
        <w:ind w:left="0" w:firstLine="0"/>
      </w:pPr>
      <w:r>
        <w:rPr>
          <w:rFonts w:hint="eastAsia"/>
        </w:rPr>
        <w:t>门诊辅助统计系统设计</w:t>
      </w:r>
    </w:p>
    <w:p>
      <w:pPr>
        <w:pStyle w:val="37"/>
        <w:spacing w:line="360" w:lineRule="auto"/>
        <w:ind w:firstLine="480"/>
        <w:rPr>
          <w:kern w:val="0"/>
        </w:rPr>
      </w:pPr>
      <w:r>
        <w:rPr>
          <w:rFonts w:hint="eastAsia"/>
          <w:kern w:val="0"/>
        </w:rPr>
        <w:t xml:space="preserve">门诊辅助决策软件模块通过对分诊叫号系统进行统计分析决策，实现医生工作量统计、医生出诊时间统计、患者就诊信息统计等数据汇总，同时具备门诊数据报警功能，医院管理人员可实时了解全院就诊情况，并及时做出相应调整。 </w:t>
      </w:r>
    </w:p>
    <w:p>
      <w:pPr>
        <w:pStyle w:val="37"/>
        <w:numPr>
          <w:ilvl w:val="0"/>
          <w:numId w:val="14"/>
        </w:numPr>
        <w:spacing w:line="360" w:lineRule="auto"/>
        <w:ind w:left="720" w:hanging="720" w:firstLineChars="0"/>
        <w:rPr>
          <w:kern w:val="0"/>
        </w:rPr>
      </w:pPr>
      <w:r>
        <w:rPr>
          <w:rFonts w:hint="eastAsia"/>
          <w:kern w:val="0"/>
        </w:rPr>
        <w:t>系统具有分时段统计功能，能够对时段内各个科室候诊人数、诊结人数、患者平均等候时长、医生出诊时长、初诊患者数量、过号患者数量及复诊量等数据进行分类统计。</w:t>
      </w:r>
    </w:p>
    <w:p>
      <w:pPr>
        <w:pStyle w:val="37"/>
        <w:numPr>
          <w:ilvl w:val="0"/>
          <w:numId w:val="14"/>
        </w:numPr>
        <w:spacing w:line="360" w:lineRule="auto"/>
        <w:ind w:left="720" w:hanging="720" w:firstLineChars="0"/>
        <w:rPr>
          <w:kern w:val="0"/>
        </w:rPr>
      </w:pPr>
      <w:r>
        <w:rPr>
          <w:rFonts w:hint="eastAsia"/>
          <w:kern w:val="0"/>
        </w:rPr>
        <w:t>时间段支持年、季、月、周、天、实时进行筛选和查看。</w:t>
      </w:r>
    </w:p>
    <w:p>
      <w:pPr>
        <w:pStyle w:val="37"/>
        <w:numPr>
          <w:ilvl w:val="0"/>
          <w:numId w:val="14"/>
        </w:numPr>
        <w:spacing w:line="360" w:lineRule="auto"/>
        <w:ind w:left="720" w:hanging="720" w:firstLineChars="0"/>
        <w:rPr>
          <w:kern w:val="0"/>
        </w:rPr>
      </w:pPr>
      <w:r>
        <w:rPr>
          <w:rFonts w:hint="eastAsia"/>
          <w:kern w:val="0"/>
        </w:rPr>
        <w:t>各种门诊数据可通过图表形式进行展示，图表应支持柱形图、线形图、饼形图、表格等。</w:t>
      </w:r>
    </w:p>
    <w:p>
      <w:pPr>
        <w:pStyle w:val="37"/>
        <w:numPr>
          <w:ilvl w:val="0"/>
          <w:numId w:val="14"/>
        </w:numPr>
        <w:spacing w:line="360" w:lineRule="auto"/>
        <w:ind w:left="720" w:hanging="720" w:firstLineChars="0"/>
        <w:rPr>
          <w:kern w:val="0"/>
        </w:rPr>
      </w:pPr>
      <w:r>
        <w:rPr>
          <w:rFonts w:hint="eastAsia"/>
          <w:kern w:val="0"/>
        </w:rPr>
        <w:t>支持历史数据的保存，以及保存的统一规范。</w:t>
      </w:r>
    </w:p>
    <w:p>
      <w:pPr>
        <w:pStyle w:val="37"/>
        <w:numPr>
          <w:ilvl w:val="0"/>
          <w:numId w:val="14"/>
        </w:numPr>
        <w:spacing w:line="360" w:lineRule="auto"/>
        <w:ind w:left="720" w:hanging="720" w:firstLineChars="0"/>
        <w:rPr>
          <w:kern w:val="0"/>
        </w:rPr>
      </w:pPr>
      <w:r>
        <w:rPr>
          <w:rFonts w:hint="eastAsia"/>
          <w:kern w:val="0"/>
        </w:rPr>
        <w:t>支持图表形式的后台查询、指定显示屏的展示、历史数据后台导出功能。</w:t>
      </w:r>
    </w:p>
    <w:p>
      <w:pPr>
        <w:pStyle w:val="37"/>
        <w:numPr>
          <w:ilvl w:val="0"/>
          <w:numId w:val="14"/>
        </w:numPr>
        <w:spacing w:line="360" w:lineRule="auto"/>
        <w:ind w:left="720" w:hanging="720" w:firstLineChars="0"/>
        <w:rPr>
          <w:kern w:val="0"/>
        </w:rPr>
      </w:pPr>
      <w:r>
        <w:rPr>
          <w:rFonts w:hint="eastAsia"/>
          <w:kern w:val="0"/>
        </w:rPr>
        <w:t xml:space="preserve">展示界面友好，符合决策者的查看习惯，充当管理者及时有效的决策依据。 </w:t>
      </w:r>
    </w:p>
    <w:p>
      <w:pPr>
        <w:pStyle w:val="37"/>
        <w:numPr>
          <w:ilvl w:val="0"/>
          <w:numId w:val="14"/>
        </w:numPr>
        <w:spacing w:line="360" w:lineRule="auto"/>
        <w:ind w:left="720" w:hanging="720" w:firstLineChars="0"/>
      </w:pPr>
      <w:r>
        <w:rPr>
          <w:rFonts w:hint="eastAsia"/>
          <w:kern w:val="0"/>
        </w:rPr>
        <w:t>可通过后台部分导出表格，以便查询。</w:t>
      </w:r>
    </w:p>
    <w:p>
      <w:pPr>
        <w:pStyle w:val="5"/>
        <w:rPr>
          <w:color w:val="000000" w:themeColor="text1"/>
          <w14:textFill>
            <w14:solidFill>
              <w14:schemeClr w14:val="tx1"/>
            </w14:solidFill>
          </w14:textFill>
        </w:rPr>
      </w:pPr>
      <w:bookmarkStart w:id="39" w:name="_Toc53656674"/>
      <w:bookmarkStart w:id="40" w:name="_Toc14854215"/>
      <w:r>
        <w:rPr>
          <w:rFonts w:hint="eastAsia"/>
          <w:color w:val="000000" w:themeColor="text1"/>
          <w14:textFill>
            <w14:solidFill>
              <w14:schemeClr w14:val="tx1"/>
            </w14:solidFill>
          </w14:textFill>
        </w:rPr>
        <w:t>硬件详细参数要求</w:t>
      </w:r>
      <w:bookmarkEnd w:id="39"/>
    </w:p>
    <w:p>
      <w:pPr>
        <w:pStyle w:val="6"/>
        <w:spacing w:line="413" w:lineRule="auto"/>
        <w:ind w:left="0" w:firstLine="0"/>
      </w:pPr>
      <w:bookmarkStart w:id="41" w:name="_Toc53656675"/>
      <w:r>
        <w:rPr>
          <w:rFonts w:hint="eastAsia"/>
        </w:rPr>
        <w:t>22</w:t>
      </w:r>
      <w:r>
        <w:t>英寸</w:t>
      </w:r>
      <w:r>
        <w:rPr>
          <w:rFonts w:hint="eastAsia"/>
        </w:rPr>
        <w:t>医疗分诊</w:t>
      </w:r>
      <w:r>
        <w:t>一体机</w:t>
      </w:r>
      <w:bookmarkEnd w:id="41"/>
    </w:p>
    <w:p>
      <w:pPr>
        <w:spacing w:line="560" w:lineRule="exact"/>
        <w:ind w:firstLine="480" w:firstLineChars="200"/>
        <w:rPr>
          <w:rFonts w:ascii="宋体" w:hAnsi="宋体"/>
          <w:szCs w:val="24"/>
        </w:rPr>
      </w:pPr>
      <w:r>
        <w:rPr>
          <w:rFonts w:hint="eastAsia" w:ascii="宋体" w:hAnsi="宋体"/>
          <w:szCs w:val="24"/>
        </w:rPr>
        <w:t>（1）★提供硬件设备国家强制性产品</w:t>
      </w:r>
      <w:r>
        <w:rPr>
          <w:rFonts w:ascii="宋体" w:hAnsi="宋体"/>
          <w:szCs w:val="24"/>
        </w:rPr>
        <w:t>CC</w:t>
      </w:r>
      <w:r>
        <w:rPr>
          <w:rFonts w:hint="eastAsia" w:ascii="宋体" w:hAnsi="宋体"/>
          <w:szCs w:val="24"/>
        </w:rPr>
        <w:t>C认证证书；</w:t>
      </w:r>
    </w:p>
    <w:p>
      <w:pPr>
        <w:spacing w:line="560" w:lineRule="exact"/>
        <w:ind w:firstLine="480" w:firstLineChars="200"/>
        <w:rPr>
          <w:rFonts w:ascii="宋体" w:hAnsi="宋体"/>
          <w:szCs w:val="24"/>
        </w:rPr>
      </w:pPr>
      <w:r>
        <w:rPr>
          <w:rFonts w:hint="eastAsia" w:ascii="宋体" w:hAnsi="宋体"/>
          <w:szCs w:val="24"/>
        </w:rPr>
        <w:t>（2）★提供硬件设备国家节能认证证书、环境管理体系认证证书、</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3</w:t>
      </w:r>
      <w:r>
        <w:rPr>
          <w:rFonts w:hint="eastAsia" w:ascii="宋体" w:hAnsi="宋体"/>
          <w:szCs w:val="24"/>
        </w:rPr>
        <w:t>）★售后服务认证证书；</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4</w:t>
      </w:r>
      <w:r>
        <w:rPr>
          <w:rFonts w:hint="eastAsia" w:ascii="宋体" w:hAnsi="宋体"/>
          <w:szCs w:val="24"/>
        </w:rPr>
        <w:t>）★液晶屏尺寸：</w:t>
      </w:r>
      <w:r>
        <w:rPr>
          <w:rFonts w:hint="eastAsia" w:ascii="宋体" w:hAnsi="宋体" w:cs="宋体"/>
          <w:kern w:val="0"/>
          <w:szCs w:val="21"/>
        </w:rPr>
        <w:t>≥</w:t>
      </w:r>
      <w:r>
        <w:rPr>
          <w:rFonts w:ascii="宋体" w:hAnsi="宋体" w:cs="宋体"/>
          <w:kern w:val="0"/>
          <w:szCs w:val="21"/>
        </w:rPr>
        <w:t>22</w:t>
      </w:r>
      <w:r>
        <w:rPr>
          <w:rFonts w:hint="eastAsia" w:ascii="宋体" w:hAnsi="宋体"/>
          <w:szCs w:val="24"/>
        </w:rPr>
        <w:t>寸；</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5</w:t>
      </w:r>
      <w:r>
        <w:rPr>
          <w:rFonts w:hint="eastAsia" w:ascii="宋体" w:hAnsi="宋体"/>
          <w:szCs w:val="24"/>
        </w:rPr>
        <w:t>）背光类型：LED；</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6</w:t>
      </w:r>
      <w:r>
        <w:rPr>
          <w:rFonts w:hint="eastAsia" w:ascii="宋体" w:hAnsi="宋体"/>
          <w:szCs w:val="24"/>
        </w:rPr>
        <w:t>）显示比例：16：9；</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7</w:t>
      </w:r>
      <w:r>
        <w:rPr>
          <w:rFonts w:hint="eastAsia" w:ascii="宋体" w:hAnsi="宋体"/>
          <w:szCs w:val="24"/>
        </w:rPr>
        <w:t>）安装方向：可横挂、竖挂；</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8</w:t>
      </w:r>
      <w:r>
        <w:rPr>
          <w:rFonts w:hint="eastAsia" w:ascii="宋体" w:hAnsi="宋体"/>
          <w:szCs w:val="24"/>
        </w:rPr>
        <w:t>）分辨率：≥1</w:t>
      </w:r>
      <w:r>
        <w:rPr>
          <w:rFonts w:ascii="宋体" w:hAnsi="宋体"/>
          <w:szCs w:val="24"/>
        </w:rPr>
        <w:t>920</w:t>
      </w:r>
      <w:r>
        <w:rPr>
          <w:rFonts w:hint="eastAsia" w:ascii="宋体" w:hAnsi="宋体"/>
          <w:szCs w:val="24"/>
        </w:rPr>
        <w:t>*</w:t>
      </w:r>
      <w:r>
        <w:rPr>
          <w:rFonts w:ascii="宋体" w:hAnsi="宋体"/>
          <w:szCs w:val="24"/>
        </w:rPr>
        <w:t>1080</w:t>
      </w:r>
      <w:r>
        <w:rPr>
          <w:rFonts w:hint="eastAsia" w:ascii="宋体" w:hAnsi="宋体"/>
          <w:szCs w:val="24"/>
        </w:rPr>
        <w:t>；</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9</w:t>
      </w:r>
      <w:r>
        <w:rPr>
          <w:rFonts w:hint="eastAsia" w:ascii="宋体" w:hAnsi="宋体"/>
          <w:szCs w:val="24"/>
        </w:rPr>
        <w:t>）亮度(nits)：≥</w:t>
      </w:r>
      <w:r>
        <w:rPr>
          <w:rFonts w:ascii="宋体" w:hAnsi="宋体"/>
          <w:szCs w:val="24"/>
        </w:rPr>
        <w:t>250</w:t>
      </w:r>
      <w:r>
        <w:rPr>
          <w:rFonts w:hint="eastAsia" w:ascii="宋体" w:hAnsi="宋体"/>
          <w:szCs w:val="24"/>
        </w:rPr>
        <w:t xml:space="preserve"> cd/m2；</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10</w:t>
      </w:r>
      <w:r>
        <w:rPr>
          <w:rFonts w:hint="eastAsia" w:ascii="宋体" w:hAnsi="宋体"/>
          <w:szCs w:val="24"/>
        </w:rPr>
        <w:t>）屏寿命：≥</w:t>
      </w:r>
      <w:r>
        <w:rPr>
          <w:rFonts w:ascii="宋体" w:hAnsi="宋体"/>
          <w:szCs w:val="24"/>
        </w:rPr>
        <w:t>2500</w:t>
      </w:r>
      <w:r>
        <w:rPr>
          <w:rFonts w:hint="eastAsia" w:ascii="宋体" w:hAnsi="宋体"/>
          <w:szCs w:val="24"/>
        </w:rPr>
        <w:t>小时；</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11</w:t>
      </w:r>
      <w:r>
        <w:rPr>
          <w:rFonts w:hint="eastAsia" w:ascii="宋体" w:hAnsi="宋体"/>
          <w:szCs w:val="24"/>
        </w:rPr>
        <w:t>）处理器指标：嵌入式四核1.3GHZ以上；</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）DDRL3内存：≥1G；</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3</w:t>
      </w:r>
      <w:r>
        <w:rPr>
          <w:rFonts w:hint="eastAsia" w:ascii="宋体" w:hAnsi="宋体"/>
          <w:szCs w:val="24"/>
        </w:rPr>
        <w:t>）eMMC5.0存储：≥8G；</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4</w:t>
      </w:r>
      <w:r>
        <w:rPr>
          <w:rFonts w:hint="eastAsia" w:ascii="宋体" w:hAnsi="宋体"/>
          <w:szCs w:val="24"/>
        </w:rPr>
        <w:t>）网络：10/100Mbps；</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5</w:t>
      </w:r>
      <w:r>
        <w:rPr>
          <w:rFonts w:hint="eastAsia" w:ascii="宋体" w:hAnsi="宋体"/>
          <w:szCs w:val="24"/>
        </w:rPr>
        <w:t>）硬件时钟控制模块：带有RTC硬件时钟控制模块；</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6</w:t>
      </w:r>
      <w:r>
        <w:rPr>
          <w:rFonts w:hint="eastAsia" w:ascii="宋体" w:hAnsi="宋体"/>
          <w:szCs w:val="24"/>
        </w:rPr>
        <w:t>）★系统：Android</w:t>
      </w:r>
      <w:r>
        <w:rPr>
          <w:rFonts w:ascii="宋体" w:hAnsi="宋体"/>
          <w:szCs w:val="24"/>
        </w:rPr>
        <w:t xml:space="preserve"> 6.0</w:t>
      </w:r>
      <w:r>
        <w:rPr>
          <w:rFonts w:hint="eastAsia" w:ascii="宋体" w:hAnsi="宋体"/>
          <w:szCs w:val="24"/>
        </w:rPr>
        <w:t>；</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17</w:t>
      </w:r>
      <w:r>
        <w:rPr>
          <w:rFonts w:hint="eastAsia" w:ascii="宋体" w:hAnsi="宋体"/>
          <w:szCs w:val="24"/>
        </w:rPr>
        <w:t>）支持硬解码：RMVB/AVI/MPG/MKV/VOB/MP4</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18</w:t>
      </w:r>
      <w:r>
        <w:rPr>
          <w:rFonts w:hint="eastAsia" w:ascii="宋体" w:hAnsi="宋体"/>
          <w:szCs w:val="24"/>
        </w:rPr>
        <w:t>）音频解码支持：支持MP3、WMA、AAC;</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19</w:t>
      </w:r>
      <w:r>
        <w:rPr>
          <w:rFonts w:hint="eastAsia" w:ascii="宋体" w:hAnsi="宋体"/>
          <w:szCs w:val="24"/>
        </w:rPr>
        <w:t>）图片支持：支持BMP、JPEG、GIF、PNG；</w:t>
      </w:r>
    </w:p>
    <w:p>
      <w:pPr>
        <w:spacing w:line="560" w:lineRule="exact"/>
        <w:ind w:firstLine="480" w:firstLineChars="200"/>
        <w:rPr>
          <w:rFonts w:ascii="宋体" w:hAnsi="宋体"/>
          <w:szCs w:val="24"/>
        </w:rPr>
      </w:pPr>
      <w:r>
        <w:rPr>
          <w:rFonts w:hint="eastAsia" w:ascii="宋体" w:hAnsi="宋体"/>
          <w:szCs w:val="24"/>
        </w:rPr>
        <w:t>（2</w:t>
      </w:r>
      <w:r>
        <w:rPr>
          <w:rFonts w:ascii="宋体" w:hAnsi="宋体"/>
          <w:szCs w:val="24"/>
        </w:rPr>
        <w:t>0</w:t>
      </w:r>
      <w:r>
        <w:rPr>
          <w:rFonts w:hint="eastAsia" w:ascii="宋体" w:hAnsi="宋体"/>
          <w:szCs w:val="24"/>
        </w:rPr>
        <w:t>）定时限速下载：支持定时限速下载，可选择网络压力小的时段进行数据下载；</w:t>
      </w:r>
    </w:p>
    <w:p>
      <w:pPr>
        <w:spacing w:line="560" w:lineRule="exact"/>
        <w:ind w:firstLine="480" w:firstLineChars="200"/>
        <w:rPr>
          <w:rFonts w:ascii="宋体" w:hAnsi="宋体"/>
          <w:szCs w:val="24"/>
        </w:rPr>
      </w:pPr>
      <w:r>
        <w:rPr>
          <w:rFonts w:hint="eastAsia" w:ascii="宋体" w:hAnsi="宋体"/>
          <w:szCs w:val="24"/>
        </w:rPr>
        <w:t>（2</w:t>
      </w:r>
      <w:r>
        <w:rPr>
          <w:rFonts w:ascii="宋体" w:hAnsi="宋体"/>
          <w:szCs w:val="24"/>
        </w:rPr>
        <w:t>1</w:t>
      </w:r>
      <w:r>
        <w:rPr>
          <w:rFonts w:hint="eastAsia" w:ascii="宋体" w:hAnsi="宋体"/>
          <w:szCs w:val="24"/>
        </w:rPr>
        <w:t>）部署管理方式：支持分布式部署，网络集中化管理；</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22</w:t>
      </w:r>
      <w:r>
        <w:rPr>
          <w:rFonts w:hint="eastAsia" w:ascii="宋体" w:hAnsi="宋体"/>
          <w:szCs w:val="24"/>
        </w:rPr>
        <w:t>）系统可按实际需求设定显示设备的每周、每日多时段自动开关机时间；</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23</w:t>
      </w:r>
      <w:r>
        <w:rPr>
          <w:rFonts w:hint="eastAsia" w:ascii="宋体" w:hAnsi="宋体"/>
          <w:szCs w:val="24"/>
        </w:rPr>
        <w:t>）采用网络化控制，可以远程网络控制院内所有网络播控终端</w:t>
      </w:r>
    </w:p>
    <w:p>
      <w:pPr>
        <w:spacing w:line="560" w:lineRule="exact"/>
        <w:ind w:firstLine="480" w:firstLineChars="200"/>
        <w:rPr>
          <w:rFonts w:ascii="宋体" w:hAnsi="宋体"/>
          <w:szCs w:val="24"/>
        </w:rPr>
      </w:pPr>
      <w:r>
        <w:rPr>
          <w:rFonts w:hint="eastAsia" w:ascii="宋体" w:hAnsi="宋体"/>
          <w:szCs w:val="24"/>
        </w:rPr>
        <w:t>（2</w:t>
      </w:r>
      <w:r>
        <w:rPr>
          <w:rFonts w:ascii="宋体" w:hAnsi="宋体"/>
          <w:szCs w:val="24"/>
        </w:rPr>
        <w:t>4</w:t>
      </w:r>
      <w:r>
        <w:rPr>
          <w:rFonts w:hint="eastAsia" w:ascii="宋体" w:hAnsi="宋体"/>
          <w:szCs w:val="24"/>
        </w:rPr>
        <w:t>） ★开关机方式：每日多时段网络定时开关机；</w:t>
      </w:r>
    </w:p>
    <w:p>
      <w:pPr>
        <w:spacing w:line="560" w:lineRule="exact"/>
        <w:ind w:firstLine="480" w:firstLineChars="200"/>
      </w:pPr>
      <w:r>
        <w:rPr>
          <w:rFonts w:hint="eastAsia" w:ascii="宋体" w:hAnsi="宋体"/>
          <w:szCs w:val="24"/>
        </w:rPr>
        <w:t>（2</w:t>
      </w:r>
      <w:r>
        <w:rPr>
          <w:rFonts w:ascii="宋体" w:hAnsi="宋体"/>
          <w:szCs w:val="24"/>
        </w:rPr>
        <w:t>5</w:t>
      </w:r>
      <w:r>
        <w:rPr>
          <w:rFonts w:hint="eastAsia" w:ascii="宋体" w:hAnsi="宋体"/>
          <w:szCs w:val="24"/>
        </w:rPr>
        <w:t>）任务发布：每日任务多时段自动发布及切换；</w:t>
      </w:r>
    </w:p>
    <w:p>
      <w:pPr>
        <w:pStyle w:val="6"/>
        <w:spacing w:line="413" w:lineRule="auto"/>
        <w:ind w:left="0" w:firstLine="0"/>
      </w:pPr>
      <w:bookmarkStart w:id="42" w:name="_Toc53656676"/>
      <w:r>
        <w:t>3</w:t>
      </w:r>
      <w:r>
        <w:rPr>
          <w:rFonts w:hint="eastAsia"/>
        </w:rPr>
        <w:t>2</w:t>
      </w:r>
      <w:r>
        <w:t>英寸</w:t>
      </w:r>
      <w:r>
        <w:rPr>
          <w:rFonts w:hint="eastAsia"/>
        </w:rPr>
        <w:t>医疗分诊</w:t>
      </w:r>
      <w:r>
        <w:t>一体机</w:t>
      </w:r>
      <w:bookmarkEnd w:id="42"/>
    </w:p>
    <w:p>
      <w:pPr>
        <w:spacing w:line="560" w:lineRule="exact"/>
        <w:ind w:firstLine="480" w:firstLineChars="200"/>
        <w:rPr>
          <w:rFonts w:ascii="宋体" w:hAnsi="宋体"/>
          <w:szCs w:val="24"/>
        </w:rPr>
      </w:pPr>
      <w:r>
        <w:rPr>
          <w:rFonts w:hint="eastAsia" w:ascii="宋体" w:hAnsi="宋体"/>
          <w:szCs w:val="24"/>
        </w:rPr>
        <w:t>（1）★提供硬件设备国家强制性产品</w:t>
      </w:r>
      <w:r>
        <w:rPr>
          <w:rFonts w:ascii="宋体" w:hAnsi="宋体"/>
          <w:szCs w:val="24"/>
        </w:rPr>
        <w:t>CC</w:t>
      </w:r>
      <w:r>
        <w:rPr>
          <w:rFonts w:hint="eastAsia" w:ascii="宋体" w:hAnsi="宋体"/>
          <w:szCs w:val="24"/>
        </w:rPr>
        <w:t>C认证证书；</w:t>
      </w:r>
    </w:p>
    <w:p>
      <w:pPr>
        <w:spacing w:line="560" w:lineRule="exact"/>
        <w:ind w:firstLine="480" w:firstLineChars="200"/>
        <w:rPr>
          <w:rFonts w:ascii="宋体" w:hAnsi="宋体"/>
          <w:szCs w:val="24"/>
        </w:rPr>
      </w:pPr>
      <w:r>
        <w:rPr>
          <w:rFonts w:hint="eastAsia" w:ascii="宋体" w:hAnsi="宋体"/>
          <w:szCs w:val="24"/>
        </w:rPr>
        <w:t>（2）★提供硬件设备国家节能认证证书、环境管理体系认证证书、</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3</w:t>
      </w:r>
      <w:r>
        <w:rPr>
          <w:rFonts w:hint="eastAsia" w:ascii="宋体" w:hAnsi="宋体"/>
          <w:szCs w:val="24"/>
        </w:rPr>
        <w:t>）★售后服务认证证书；</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4</w:t>
      </w:r>
      <w:r>
        <w:rPr>
          <w:rFonts w:hint="eastAsia" w:ascii="宋体" w:hAnsi="宋体"/>
          <w:szCs w:val="24"/>
        </w:rPr>
        <w:t>）★液晶屏尺寸：</w:t>
      </w:r>
      <w:r>
        <w:rPr>
          <w:rFonts w:hint="eastAsia" w:ascii="宋体" w:hAnsi="宋体" w:cs="宋体"/>
          <w:kern w:val="0"/>
          <w:szCs w:val="21"/>
        </w:rPr>
        <w:t>≥3</w:t>
      </w:r>
      <w:r>
        <w:rPr>
          <w:rFonts w:ascii="宋体" w:hAnsi="宋体" w:cs="宋体"/>
          <w:kern w:val="0"/>
          <w:szCs w:val="21"/>
        </w:rPr>
        <w:t>2</w:t>
      </w:r>
      <w:r>
        <w:rPr>
          <w:rFonts w:hint="eastAsia" w:ascii="宋体" w:hAnsi="宋体"/>
          <w:szCs w:val="24"/>
        </w:rPr>
        <w:t>寸；</w:t>
      </w:r>
    </w:p>
    <w:p>
      <w:pPr>
        <w:spacing w:line="560" w:lineRule="exact"/>
        <w:ind w:firstLine="480" w:firstLineChars="200"/>
        <w:rPr>
          <w:rFonts w:ascii="宋体" w:hAnsi="宋体"/>
          <w:szCs w:val="24"/>
        </w:rPr>
      </w:pPr>
      <w:bookmarkStart w:id="43" w:name="_Hlk53654094"/>
      <w:r>
        <w:rPr>
          <w:rFonts w:hint="eastAsia" w:ascii="宋体" w:hAnsi="宋体"/>
          <w:szCs w:val="24"/>
        </w:rPr>
        <w:t>（</w:t>
      </w:r>
      <w:r>
        <w:rPr>
          <w:rFonts w:ascii="宋体" w:hAnsi="宋体"/>
          <w:szCs w:val="24"/>
        </w:rPr>
        <w:t>5</w:t>
      </w:r>
      <w:r>
        <w:rPr>
          <w:rFonts w:hint="eastAsia" w:ascii="宋体" w:hAnsi="宋体"/>
          <w:szCs w:val="24"/>
        </w:rPr>
        <w:t>）背光类型：LED；</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6</w:t>
      </w:r>
      <w:r>
        <w:rPr>
          <w:rFonts w:hint="eastAsia" w:ascii="宋体" w:hAnsi="宋体"/>
          <w:szCs w:val="24"/>
        </w:rPr>
        <w:t>）显示比例：16：9；</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7</w:t>
      </w:r>
      <w:r>
        <w:rPr>
          <w:rFonts w:hint="eastAsia" w:ascii="宋体" w:hAnsi="宋体"/>
          <w:szCs w:val="24"/>
        </w:rPr>
        <w:t>）安装方向：可横挂、竖挂；</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8</w:t>
      </w:r>
      <w:r>
        <w:rPr>
          <w:rFonts w:hint="eastAsia" w:ascii="宋体" w:hAnsi="宋体"/>
          <w:szCs w:val="24"/>
        </w:rPr>
        <w:t>）分辨率：≥1366*768；</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9</w:t>
      </w:r>
      <w:r>
        <w:rPr>
          <w:rFonts w:hint="eastAsia" w:ascii="宋体" w:hAnsi="宋体"/>
          <w:szCs w:val="24"/>
        </w:rPr>
        <w:t>）亮度(nits)：≥</w:t>
      </w:r>
      <w:r>
        <w:rPr>
          <w:rFonts w:ascii="宋体" w:hAnsi="宋体"/>
          <w:szCs w:val="24"/>
        </w:rPr>
        <w:t>400</w:t>
      </w:r>
      <w:r>
        <w:rPr>
          <w:rFonts w:hint="eastAsia" w:ascii="宋体" w:hAnsi="宋体"/>
          <w:szCs w:val="24"/>
        </w:rPr>
        <w:t xml:space="preserve"> cd/m2；</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10</w:t>
      </w:r>
      <w:r>
        <w:rPr>
          <w:rFonts w:hint="eastAsia" w:ascii="宋体" w:hAnsi="宋体"/>
          <w:szCs w:val="24"/>
        </w:rPr>
        <w:t>）屏寿命：≥3</w:t>
      </w:r>
      <w:r>
        <w:rPr>
          <w:rFonts w:ascii="宋体" w:hAnsi="宋体"/>
          <w:szCs w:val="24"/>
        </w:rPr>
        <w:t>000</w:t>
      </w:r>
      <w:r>
        <w:rPr>
          <w:rFonts w:hint="eastAsia" w:ascii="宋体" w:hAnsi="宋体"/>
          <w:szCs w:val="24"/>
        </w:rPr>
        <w:t>小时；</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11</w:t>
      </w:r>
      <w:r>
        <w:rPr>
          <w:rFonts w:hint="eastAsia" w:ascii="宋体" w:hAnsi="宋体"/>
          <w:szCs w:val="24"/>
        </w:rPr>
        <w:t>）处理器指标：嵌入式四核1.3GHZ以上；</w:t>
      </w:r>
    </w:p>
    <w:bookmarkEnd w:id="43"/>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）DDRL3内存：≥1G；</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3</w:t>
      </w:r>
      <w:r>
        <w:rPr>
          <w:rFonts w:hint="eastAsia" w:ascii="宋体" w:hAnsi="宋体"/>
          <w:szCs w:val="24"/>
        </w:rPr>
        <w:t>）eMMC5.0存储：≥8G；</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4</w:t>
      </w:r>
      <w:r>
        <w:rPr>
          <w:rFonts w:hint="eastAsia" w:ascii="宋体" w:hAnsi="宋体"/>
          <w:szCs w:val="24"/>
        </w:rPr>
        <w:t>）网络：10/100Mbps；</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5</w:t>
      </w:r>
      <w:r>
        <w:rPr>
          <w:rFonts w:hint="eastAsia" w:ascii="宋体" w:hAnsi="宋体"/>
          <w:szCs w:val="24"/>
        </w:rPr>
        <w:t>）硬件时钟控制模块：带有RTC硬件时钟控制模块；</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6</w:t>
      </w:r>
      <w:r>
        <w:rPr>
          <w:rFonts w:hint="eastAsia" w:ascii="宋体" w:hAnsi="宋体"/>
          <w:szCs w:val="24"/>
        </w:rPr>
        <w:t>）★系统：Android</w:t>
      </w:r>
      <w:r>
        <w:rPr>
          <w:rFonts w:ascii="宋体" w:hAnsi="宋体"/>
          <w:szCs w:val="24"/>
        </w:rPr>
        <w:t xml:space="preserve"> 6.0</w:t>
      </w:r>
      <w:r>
        <w:rPr>
          <w:rFonts w:hint="eastAsia" w:ascii="宋体" w:hAnsi="宋体"/>
          <w:szCs w:val="24"/>
        </w:rPr>
        <w:t>；</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17</w:t>
      </w:r>
      <w:r>
        <w:rPr>
          <w:rFonts w:hint="eastAsia" w:ascii="宋体" w:hAnsi="宋体"/>
          <w:szCs w:val="24"/>
        </w:rPr>
        <w:t>）支持硬解码：RMVB/AVI/MPG/MKV/VOB/MP4</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18</w:t>
      </w:r>
      <w:r>
        <w:rPr>
          <w:rFonts w:hint="eastAsia" w:ascii="宋体" w:hAnsi="宋体"/>
          <w:szCs w:val="24"/>
        </w:rPr>
        <w:t>）音频解码支持：支持MP3、WMA、AAC;</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19</w:t>
      </w:r>
      <w:r>
        <w:rPr>
          <w:rFonts w:hint="eastAsia" w:ascii="宋体" w:hAnsi="宋体"/>
          <w:szCs w:val="24"/>
        </w:rPr>
        <w:t>）图片支持：支持BMP、JPEG、GIF、PNG；</w:t>
      </w:r>
    </w:p>
    <w:p>
      <w:pPr>
        <w:spacing w:line="560" w:lineRule="exact"/>
        <w:ind w:firstLine="480" w:firstLineChars="200"/>
        <w:rPr>
          <w:rFonts w:ascii="宋体" w:hAnsi="宋体"/>
          <w:szCs w:val="24"/>
        </w:rPr>
      </w:pPr>
      <w:r>
        <w:rPr>
          <w:rFonts w:hint="eastAsia" w:ascii="宋体" w:hAnsi="宋体"/>
          <w:szCs w:val="24"/>
        </w:rPr>
        <w:t>（2</w:t>
      </w:r>
      <w:r>
        <w:rPr>
          <w:rFonts w:ascii="宋体" w:hAnsi="宋体"/>
          <w:szCs w:val="24"/>
        </w:rPr>
        <w:t>0</w:t>
      </w:r>
      <w:r>
        <w:rPr>
          <w:rFonts w:hint="eastAsia" w:ascii="宋体" w:hAnsi="宋体"/>
          <w:szCs w:val="24"/>
        </w:rPr>
        <w:t>）定时限速下载：支持定时限速下载，可选择网络压力小的时段进行数据下载；</w:t>
      </w:r>
    </w:p>
    <w:p>
      <w:pPr>
        <w:spacing w:line="560" w:lineRule="exact"/>
        <w:ind w:firstLine="480" w:firstLineChars="200"/>
        <w:rPr>
          <w:rFonts w:ascii="宋体" w:hAnsi="宋体"/>
          <w:szCs w:val="24"/>
        </w:rPr>
      </w:pPr>
      <w:r>
        <w:rPr>
          <w:rFonts w:hint="eastAsia" w:ascii="宋体" w:hAnsi="宋体"/>
          <w:szCs w:val="24"/>
        </w:rPr>
        <w:t>（2</w:t>
      </w:r>
      <w:r>
        <w:rPr>
          <w:rFonts w:ascii="宋体" w:hAnsi="宋体"/>
          <w:szCs w:val="24"/>
        </w:rPr>
        <w:t>1</w:t>
      </w:r>
      <w:r>
        <w:rPr>
          <w:rFonts w:hint="eastAsia" w:ascii="宋体" w:hAnsi="宋体"/>
          <w:szCs w:val="24"/>
        </w:rPr>
        <w:t>）部署管理方式：支持分布式部署，网络集中化管理；</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22</w:t>
      </w:r>
      <w:r>
        <w:rPr>
          <w:rFonts w:hint="eastAsia" w:ascii="宋体" w:hAnsi="宋体"/>
          <w:szCs w:val="24"/>
        </w:rPr>
        <w:t>）系统可按实际需求设定显示设备的每周、每日多时段自动开关机时间；</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23</w:t>
      </w:r>
      <w:r>
        <w:rPr>
          <w:rFonts w:hint="eastAsia" w:ascii="宋体" w:hAnsi="宋体"/>
          <w:szCs w:val="24"/>
        </w:rPr>
        <w:t>）采用网络化控制，可以远程网络控制院内所有网络播控终端</w:t>
      </w:r>
    </w:p>
    <w:p>
      <w:pPr>
        <w:spacing w:line="560" w:lineRule="exact"/>
        <w:ind w:firstLine="480" w:firstLineChars="200"/>
        <w:rPr>
          <w:rFonts w:ascii="宋体" w:hAnsi="宋体"/>
          <w:szCs w:val="24"/>
        </w:rPr>
      </w:pPr>
      <w:r>
        <w:rPr>
          <w:rFonts w:hint="eastAsia" w:ascii="宋体" w:hAnsi="宋体"/>
          <w:szCs w:val="24"/>
        </w:rPr>
        <w:t>（2</w:t>
      </w:r>
      <w:r>
        <w:rPr>
          <w:rFonts w:ascii="宋体" w:hAnsi="宋体"/>
          <w:szCs w:val="24"/>
        </w:rPr>
        <w:t>4</w:t>
      </w:r>
      <w:r>
        <w:rPr>
          <w:rFonts w:hint="eastAsia" w:ascii="宋体" w:hAnsi="宋体"/>
          <w:szCs w:val="24"/>
        </w:rPr>
        <w:t>） ★开关机方式：每日多时段网络定时开关机；</w:t>
      </w:r>
    </w:p>
    <w:p>
      <w:pPr>
        <w:spacing w:line="560" w:lineRule="exact"/>
        <w:ind w:firstLine="480" w:firstLineChars="200"/>
      </w:pPr>
      <w:r>
        <w:rPr>
          <w:rFonts w:hint="eastAsia" w:ascii="宋体" w:hAnsi="宋体"/>
          <w:szCs w:val="24"/>
        </w:rPr>
        <w:t>（2</w:t>
      </w:r>
      <w:r>
        <w:rPr>
          <w:rFonts w:ascii="宋体" w:hAnsi="宋体"/>
          <w:szCs w:val="24"/>
        </w:rPr>
        <w:t>5</w:t>
      </w:r>
      <w:r>
        <w:rPr>
          <w:rFonts w:hint="eastAsia" w:ascii="宋体" w:hAnsi="宋体"/>
          <w:szCs w:val="24"/>
        </w:rPr>
        <w:t>）任务发布：每日任务多时段自动发布及切换；</w:t>
      </w:r>
    </w:p>
    <w:p>
      <w:pPr>
        <w:pStyle w:val="6"/>
        <w:spacing w:line="413" w:lineRule="auto"/>
        <w:ind w:left="0" w:firstLine="0"/>
      </w:pPr>
      <w:bookmarkStart w:id="44" w:name="_Toc53656677"/>
      <w:r>
        <w:rPr>
          <w:rFonts w:hint="eastAsia"/>
        </w:rPr>
        <w:t>自助服务终端</w:t>
      </w:r>
      <w:bookmarkEnd w:id="44"/>
    </w:p>
    <w:p>
      <w:pPr>
        <w:spacing w:line="560" w:lineRule="exact"/>
        <w:ind w:firstLine="480" w:firstLineChars="200"/>
        <w:rPr>
          <w:rFonts w:ascii="宋体" w:hAnsi="宋体"/>
          <w:szCs w:val="24"/>
        </w:rPr>
      </w:pPr>
      <w:r>
        <w:rPr>
          <w:rFonts w:hint="eastAsia" w:ascii="宋体" w:hAnsi="宋体"/>
          <w:szCs w:val="24"/>
        </w:rPr>
        <w:t>（1）★提供硬件设备国家强制性产品</w:t>
      </w:r>
      <w:r>
        <w:rPr>
          <w:rFonts w:ascii="宋体" w:hAnsi="宋体"/>
          <w:szCs w:val="24"/>
        </w:rPr>
        <w:t>CC</w:t>
      </w:r>
      <w:r>
        <w:rPr>
          <w:rFonts w:hint="eastAsia" w:ascii="宋体" w:hAnsi="宋体"/>
          <w:szCs w:val="24"/>
        </w:rPr>
        <w:t>C认证证书；</w:t>
      </w:r>
    </w:p>
    <w:p>
      <w:pPr>
        <w:spacing w:line="560" w:lineRule="exact"/>
        <w:ind w:firstLine="480" w:firstLineChars="200"/>
        <w:rPr>
          <w:rFonts w:ascii="宋体" w:hAnsi="宋体"/>
          <w:szCs w:val="24"/>
        </w:rPr>
      </w:pPr>
      <w:r>
        <w:rPr>
          <w:rFonts w:hint="eastAsia" w:ascii="宋体" w:hAnsi="宋体"/>
          <w:szCs w:val="24"/>
        </w:rPr>
        <w:t>（2）★提供硬件设备国家节能认证证书、环境管理体系认证证书、</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3</w:t>
      </w:r>
      <w:r>
        <w:rPr>
          <w:rFonts w:hint="eastAsia" w:ascii="宋体" w:hAnsi="宋体"/>
          <w:szCs w:val="24"/>
        </w:rPr>
        <w:t>）★售后服务认证证书；</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4</w:t>
      </w:r>
      <w:r>
        <w:rPr>
          <w:rFonts w:hint="eastAsia" w:ascii="宋体" w:hAnsi="宋体"/>
          <w:szCs w:val="24"/>
        </w:rPr>
        <w:t>）★液晶屏尺寸：</w:t>
      </w:r>
      <w:r>
        <w:rPr>
          <w:rFonts w:hint="eastAsia" w:ascii="宋体" w:hAnsi="宋体" w:cs="宋体"/>
          <w:kern w:val="0"/>
          <w:szCs w:val="21"/>
        </w:rPr>
        <w:t>≥</w:t>
      </w:r>
      <w:r>
        <w:rPr>
          <w:rFonts w:ascii="宋体" w:hAnsi="宋体" w:cs="宋体"/>
          <w:kern w:val="0"/>
          <w:szCs w:val="21"/>
        </w:rPr>
        <w:t>22</w:t>
      </w:r>
      <w:r>
        <w:rPr>
          <w:rFonts w:hint="eastAsia" w:ascii="宋体" w:hAnsi="宋体"/>
          <w:szCs w:val="24"/>
        </w:rPr>
        <w:t>寸；</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5</w:t>
      </w:r>
      <w:r>
        <w:rPr>
          <w:rFonts w:hint="eastAsia" w:ascii="宋体" w:hAnsi="宋体"/>
          <w:szCs w:val="24"/>
        </w:rPr>
        <w:t>）背光类型：LED；</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6</w:t>
      </w:r>
      <w:r>
        <w:rPr>
          <w:rFonts w:hint="eastAsia" w:ascii="宋体" w:hAnsi="宋体"/>
          <w:szCs w:val="24"/>
        </w:rPr>
        <w:t>）显示比例：16：9；</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7</w:t>
      </w:r>
      <w:r>
        <w:rPr>
          <w:rFonts w:hint="eastAsia" w:ascii="宋体" w:hAnsi="宋体"/>
          <w:szCs w:val="24"/>
        </w:rPr>
        <w:t>）安装方式：落地安装；</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8</w:t>
      </w:r>
      <w:r>
        <w:rPr>
          <w:rFonts w:hint="eastAsia" w:ascii="宋体" w:hAnsi="宋体"/>
          <w:szCs w:val="24"/>
        </w:rPr>
        <w:t>）分辨率：≥1</w:t>
      </w:r>
      <w:r>
        <w:rPr>
          <w:rFonts w:ascii="宋体" w:hAnsi="宋体"/>
          <w:szCs w:val="24"/>
        </w:rPr>
        <w:t>920</w:t>
      </w:r>
      <w:r>
        <w:rPr>
          <w:rFonts w:hint="eastAsia" w:ascii="宋体" w:hAnsi="宋体"/>
          <w:szCs w:val="24"/>
        </w:rPr>
        <w:t>*</w:t>
      </w:r>
      <w:r>
        <w:rPr>
          <w:rFonts w:ascii="宋体" w:hAnsi="宋体"/>
          <w:szCs w:val="24"/>
        </w:rPr>
        <w:t>1080</w:t>
      </w:r>
      <w:r>
        <w:rPr>
          <w:rFonts w:hint="eastAsia" w:ascii="宋体" w:hAnsi="宋体"/>
          <w:szCs w:val="24"/>
        </w:rPr>
        <w:t>；</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9</w:t>
      </w:r>
      <w:r>
        <w:rPr>
          <w:rFonts w:hint="eastAsia" w:ascii="宋体" w:hAnsi="宋体"/>
          <w:szCs w:val="24"/>
        </w:rPr>
        <w:t>）亮度(nits)：≥</w:t>
      </w:r>
      <w:r>
        <w:rPr>
          <w:rFonts w:ascii="宋体" w:hAnsi="宋体"/>
          <w:szCs w:val="24"/>
        </w:rPr>
        <w:t>250</w:t>
      </w:r>
      <w:r>
        <w:rPr>
          <w:rFonts w:hint="eastAsia" w:ascii="宋体" w:hAnsi="宋体"/>
          <w:szCs w:val="24"/>
        </w:rPr>
        <w:t xml:space="preserve"> cd/m2；</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10</w:t>
      </w:r>
      <w:r>
        <w:rPr>
          <w:rFonts w:hint="eastAsia" w:ascii="宋体" w:hAnsi="宋体"/>
          <w:szCs w:val="24"/>
        </w:rPr>
        <w:t>）屏寿命：≥</w:t>
      </w:r>
      <w:r>
        <w:rPr>
          <w:rFonts w:ascii="宋体" w:hAnsi="宋体"/>
          <w:szCs w:val="24"/>
        </w:rPr>
        <w:t>2500</w:t>
      </w:r>
      <w:r>
        <w:rPr>
          <w:rFonts w:hint="eastAsia" w:ascii="宋体" w:hAnsi="宋体"/>
          <w:szCs w:val="24"/>
        </w:rPr>
        <w:t>小时；</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11</w:t>
      </w:r>
      <w:r>
        <w:rPr>
          <w:rFonts w:hint="eastAsia" w:ascii="宋体" w:hAnsi="宋体"/>
          <w:szCs w:val="24"/>
        </w:rPr>
        <w:t>）处理器指标：嵌入式四核1.3GHZ以上；</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11</w:t>
      </w:r>
      <w:r>
        <w:rPr>
          <w:rFonts w:hint="eastAsia" w:ascii="宋体" w:hAnsi="宋体"/>
          <w:szCs w:val="24"/>
        </w:rPr>
        <w:t>）处理器指标：嵌入式四核1.3GHZ以上；</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）DDRL3内存：≥1G；</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3</w:t>
      </w:r>
      <w:r>
        <w:rPr>
          <w:rFonts w:hint="eastAsia" w:ascii="宋体" w:hAnsi="宋体"/>
          <w:szCs w:val="24"/>
        </w:rPr>
        <w:t>）eMMC5.0存储：≥8G；</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4</w:t>
      </w:r>
      <w:r>
        <w:rPr>
          <w:rFonts w:hint="eastAsia" w:ascii="宋体" w:hAnsi="宋体"/>
          <w:szCs w:val="24"/>
        </w:rPr>
        <w:t>）网络：10/100Mbps；</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5</w:t>
      </w:r>
      <w:r>
        <w:rPr>
          <w:rFonts w:hint="eastAsia" w:ascii="宋体" w:hAnsi="宋体"/>
          <w:szCs w:val="24"/>
        </w:rPr>
        <w:t>）硬件时钟控制模块：带有RTC硬件时钟控制模块；</w:t>
      </w:r>
    </w:p>
    <w:p>
      <w:pPr>
        <w:spacing w:line="560" w:lineRule="exact"/>
        <w:ind w:firstLine="480" w:firstLineChars="200"/>
        <w:rPr>
          <w:rFonts w:ascii="宋体" w:hAnsi="宋体"/>
          <w:szCs w:val="24"/>
        </w:rPr>
      </w:pPr>
      <w:r>
        <w:rPr>
          <w:rFonts w:hint="eastAsia" w:ascii="宋体" w:hAnsi="宋体"/>
          <w:szCs w:val="24"/>
        </w:rPr>
        <w:t>（1</w:t>
      </w:r>
      <w:r>
        <w:rPr>
          <w:rFonts w:ascii="宋体" w:hAnsi="宋体"/>
          <w:szCs w:val="24"/>
        </w:rPr>
        <w:t>6</w:t>
      </w:r>
      <w:r>
        <w:rPr>
          <w:rFonts w:hint="eastAsia" w:ascii="宋体" w:hAnsi="宋体"/>
          <w:szCs w:val="24"/>
        </w:rPr>
        <w:t>）★系统：Android</w:t>
      </w:r>
      <w:r>
        <w:rPr>
          <w:rFonts w:ascii="宋体" w:hAnsi="宋体"/>
          <w:szCs w:val="24"/>
        </w:rPr>
        <w:t xml:space="preserve"> 6.0</w:t>
      </w:r>
      <w:r>
        <w:rPr>
          <w:rFonts w:hint="eastAsia" w:ascii="宋体" w:hAnsi="宋体"/>
          <w:szCs w:val="24"/>
        </w:rPr>
        <w:t>；</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17</w:t>
      </w:r>
      <w:r>
        <w:rPr>
          <w:rFonts w:hint="eastAsia" w:ascii="宋体" w:hAnsi="宋体"/>
          <w:szCs w:val="24"/>
        </w:rPr>
        <w:t>）支持硬解码：RMVB/AVI/MPG/MKV/VOB/MP4</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18</w:t>
      </w:r>
      <w:r>
        <w:rPr>
          <w:rFonts w:hint="eastAsia" w:ascii="宋体" w:hAnsi="宋体"/>
          <w:szCs w:val="24"/>
        </w:rPr>
        <w:t>）音频解码支持：支持MP3、WMA、AAC;</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19</w:t>
      </w:r>
      <w:r>
        <w:rPr>
          <w:rFonts w:hint="eastAsia" w:ascii="宋体" w:hAnsi="宋体"/>
          <w:szCs w:val="24"/>
        </w:rPr>
        <w:t>）图片支持：支持BMP、JPEG、GIF、PNG；</w:t>
      </w:r>
    </w:p>
    <w:p>
      <w:pPr>
        <w:spacing w:line="560" w:lineRule="exact"/>
        <w:ind w:firstLine="480" w:firstLineChars="200"/>
        <w:rPr>
          <w:rFonts w:ascii="宋体" w:hAnsi="宋体"/>
          <w:szCs w:val="24"/>
        </w:rPr>
      </w:pPr>
      <w:r>
        <w:rPr>
          <w:rFonts w:hint="eastAsia" w:ascii="宋体" w:hAnsi="宋体"/>
          <w:szCs w:val="24"/>
        </w:rPr>
        <w:t>（2</w:t>
      </w:r>
      <w:r>
        <w:rPr>
          <w:rFonts w:ascii="宋体" w:hAnsi="宋体"/>
          <w:szCs w:val="24"/>
        </w:rPr>
        <w:t>0</w:t>
      </w:r>
      <w:r>
        <w:rPr>
          <w:rFonts w:hint="eastAsia" w:ascii="宋体" w:hAnsi="宋体"/>
          <w:szCs w:val="24"/>
        </w:rPr>
        <w:t>）定时限速下载：支持定时限速下载，可选择网络压力小的时段进行数据下载；</w:t>
      </w:r>
    </w:p>
    <w:p>
      <w:pPr>
        <w:spacing w:line="560" w:lineRule="exact"/>
        <w:ind w:firstLine="480" w:firstLineChars="200"/>
        <w:rPr>
          <w:rFonts w:ascii="宋体" w:hAnsi="宋体"/>
          <w:szCs w:val="24"/>
        </w:rPr>
      </w:pPr>
      <w:r>
        <w:rPr>
          <w:rFonts w:hint="eastAsia" w:ascii="宋体" w:hAnsi="宋体"/>
          <w:szCs w:val="24"/>
        </w:rPr>
        <w:t>（2</w:t>
      </w:r>
      <w:r>
        <w:rPr>
          <w:rFonts w:ascii="宋体" w:hAnsi="宋体"/>
          <w:szCs w:val="24"/>
        </w:rPr>
        <w:t>1</w:t>
      </w:r>
      <w:r>
        <w:rPr>
          <w:rFonts w:hint="eastAsia" w:ascii="宋体" w:hAnsi="宋体"/>
          <w:szCs w:val="24"/>
        </w:rPr>
        <w:t>）部署管理方式：支持分布式部署，网络集中化管理；</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22</w:t>
      </w:r>
      <w:r>
        <w:rPr>
          <w:rFonts w:hint="eastAsia" w:ascii="宋体" w:hAnsi="宋体"/>
          <w:szCs w:val="24"/>
        </w:rPr>
        <w:t>）系统可按实际需求设定显示设备的每周、每日多时段自动开关机时间；</w:t>
      </w:r>
    </w:p>
    <w:p>
      <w:pPr>
        <w:spacing w:line="560" w:lineRule="exact"/>
        <w:ind w:firstLine="480" w:firstLineChars="200"/>
        <w:rPr>
          <w:rFonts w:ascii="宋体" w:hAnsi="宋体"/>
          <w:szCs w:val="24"/>
        </w:rPr>
      </w:pPr>
      <w:r>
        <w:rPr>
          <w:rFonts w:hint="eastAsia" w:ascii="宋体" w:hAnsi="宋体"/>
          <w:szCs w:val="24"/>
        </w:rPr>
        <w:t>（</w:t>
      </w:r>
      <w:r>
        <w:rPr>
          <w:rFonts w:ascii="宋体" w:hAnsi="宋体"/>
          <w:szCs w:val="24"/>
        </w:rPr>
        <w:t>23</w:t>
      </w:r>
      <w:r>
        <w:rPr>
          <w:rFonts w:hint="eastAsia" w:ascii="宋体" w:hAnsi="宋体"/>
          <w:szCs w:val="24"/>
        </w:rPr>
        <w:t>）采用网络化控制，可以远程网络控制院内所有网络播控终端；</w:t>
      </w:r>
    </w:p>
    <w:p>
      <w:pPr>
        <w:pStyle w:val="3"/>
        <w:ind w:firstLine="480"/>
        <w:rPr>
          <w:rFonts w:ascii="宋体" w:hAnsi="宋体"/>
          <w:szCs w:val="24"/>
        </w:rPr>
      </w:pPr>
      <w:r>
        <w:rPr>
          <w:rFonts w:hint="eastAsia" w:ascii="宋体" w:hAnsi="宋体"/>
          <w:szCs w:val="24"/>
        </w:rPr>
        <w:t>（</w:t>
      </w:r>
      <w:r>
        <w:rPr>
          <w:rFonts w:ascii="宋体" w:hAnsi="宋体"/>
          <w:szCs w:val="24"/>
        </w:rPr>
        <w:t>24</w:t>
      </w:r>
      <w:r>
        <w:rPr>
          <w:rFonts w:hint="eastAsia" w:ascii="宋体" w:hAnsi="宋体"/>
          <w:szCs w:val="24"/>
        </w:rPr>
        <w:t>）★触摸方式：电容触摸；</w:t>
      </w:r>
    </w:p>
    <w:p>
      <w:pPr>
        <w:spacing w:before="166" w:beforeLines="50" w:after="166" w:afterLines="50" w:line="0" w:lineRule="atLeast"/>
        <w:ind w:firstLine="480" w:firstLineChars="200"/>
      </w:pPr>
      <w:r>
        <w:rPr>
          <w:rFonts w:hint="eastAsia" w:ascii="宋体" w:hAnsi="宋体"/>
          <w:szCs w:val="24"/>
        </w:rPr>
        <w:t>（</w:t>
      </w:r>
      <w:r>
        <w:rPr>
          <w:rFonts w:ascii="宋体" w:hAnsi="宋体"/>
          <w:szCs w:val="24"/>
        </w:rPr>
        <w:t>25</w:t>
      </w:r>
      <w:r>
        <w:rPr>
          <w:rFonts w:hint="eastAsia" w:ascii="宋体" w:hAnsi="宋体"/>
          <w:szCs w:val="24"/>
        </w:rPr>
        <w:t>）★</w:t>
      </w:r>
      <w:r>
        <w:rPr>
          <w:rFonts w:hint="eastAsia"/>
        </w:rPr>
        <w:t>支持刷卡报到：磁条卡刷卡。</w:t>
      </w:r>
    </w:p>
    <w:p>
      <w:pPr>
        <w:spacing w:before="166" w:beforeLines="50" w:after="166" w:afterLines="50" w:line="0" w:lineRule="atLeast"/>
        <w:ind w:firstLine="960" w:firstLineChars="400"/>
      </w:pPr>
      <w:r>
        <w:rPr>
          <w:rFonts w:hint="eastAsia"/>
        </w:rPr>
        <w:t>支持光学扫描，可扫描一维码、二维码。支持票号打印，打印排队小票</w:t>
      </w:r>
    </w:p>
    <w:p>
      <w:pPr>
        <w:pStyle w:val="3"/>
        <w:ind w:firstLine="480"/>
      </w:pPr>
      <w:r>
        <w:rPr>
          <w:rFonts w:hint="eastAsia" w:ascii="宋体" w:hAnsi="宋体"/>
          <w:szCs w:val="24"/>
        </w:rPr>
        <w:t>（</w:t>
      </w:r>
      <w:r>
        <w:rPr>
          <w:rFonts w:ascii="宋体" w:hAnsi="宋体"/>
          <w:szCs w:val="24"/>
        </w:rPr>
        <w:t>26</w:t>
      </w:r>
      <w:r>
        <w:rPr>
          <w:rFonts w:hint="eastAsia" w:ascii="宋体" w:hAnsi="宋体"/>
          <w:szCs w:val="24"/>
        </w:rPr>
        <w:t>）★开关机方式：每日多时段网络定时开关机；</w:t>
      </w:r>
    </w:p>
    <w:p>
      <w:pPr>
        <w:pStyle w:val="6"/>
        <w:spacing w:line="413" w:lineRule="auto"/>
        <w:ind w:left="0" w:firstLine="0"/>
      </w:pPr>
      <w:bookmarkStart w:id="45" w:name="_Toc53656678"/>
      <w:r>
        <w:rPr>
          <w:rFonts w:hint="eastAsia"/>
        </w:rPr>
        <w:t>物理叫号器</w:t>
      </w:r>
      <w:bookmarkEnd w:id="45"/>
    </w:p>
    <w:p>
      <w:pPr>
        <w:spacing w:before="166" w:beforeLines="50" w:after="166" w:afterLines="50" w:line="0" w:lineRule="atLeast"/>
      </w:pPr>
      <w:r>
        <w:rPr>
          <w:rFonts w:hint="eastAsia" w:ascii="宋体" w:hAnsi="宋体"/>
          <w:szCs w:val="24"/>
        </w:rPr>
        <w:t>（1）★</w:t>
      </w:r>
      <w:r>
        <w:t>CPU:</w:t>
      </w:r>
      <w:r>
        <w:rPr>
          <w:rFonts w:hint="eastAsia"/>
        </w:rPr>
        <w:t xml:space="preserve"> </w:t>
      </w:r>
      <w:r>
        <w:rPr>
          <w:rFonts w:hint="eastAsia" w:ascii="宋体" w:hAnsi="宋体"/>
          <w:szCs w:val="24"/>
        </w:rPr>
        <w:t>≥</w:t>
      </w:r>
      <w:r>
        <w:rPr>
          <w:rFonts w:hint="eastAsia"/>
        </w:rPr>
        <w:t xml:space="preserve">四核 </w:t>
      </w:r>
      <w:r>
        <w:t>1.5Ghz</w:t>
      </w:r>
    </w:p>
    <w:p>
      <w:pPr>
        <w:spacing w:before="166" w:beforeLines="50" w:after="166" w:afterLines="50" w:line="0" w:lineRule="atLeast"/>
      </w:pPr>
      <w:r>
        <w:rPr>
          <w:rFonts w:hint="eastAsia" w:ascii="宋体" w:hAnsi="宋体"/>
          <w:szCs w:val="24"/>
        </w:rPr>
        <w:t>（</w:t>
      </w:r>
      <w:r>
        <w:rPr>
          <w:rFonts w:ascii="宋体" w:hAnsi="宋体"/>
          <w:szCs w:val="24"/>
        </w:rPr>
        <w:t>2</w:t>
      </w:r>
      <w:r>
        <w:rPr>
          <w:rFonts w:hint="eastAsia" w:ascii="宋体" w:hAnsi="宋体"/>
          <w:szCs w:val="24"/>
        </w:rPr>
        <w:t>）★</w:t>
      </w:r>
      <w:r>
        <w:rPr>
          <w:rFonts w:hint="eastAsia"/>
        </w:rPr>
        <w:t>操作系统：</w:t>
      </w:r>
      <w:r>
        <w:rPr>
          <w:rFonts w:hint="eastAsia" w:ascii="宋体" w:hAnsi="宋体"/>
          <w:szCs w:val="24"/>
        </w:rPr>
        <w:t>Android</w:t>
      </w:r>
      <w:r>
        <w:rPr>
          <w:rFonts w:ascii="宋体" w:hAnsi="宋体"/>
          <w:szCs w:val="24"/>
        </w:rPr>
        <w:t xml:space="preserve"> 5.0</w:t>
      </w:r>
    </w:p>
    <w:p>
      <w:pPr>
        <w:spacing w:before="166" w:beforeLines="50" w:after="166" w:afterLines="50" w:line="0" w:lineRule="atLeast"/>
      </w:pPr>
      <w:r>
        <w:rPr>
          <w:rFonts w:hint="eastAsia" w:ascii="宋体" w:hAnsi="宋体"/>
          <w:szCs w:val="24"/>
        </w:rPr>
        <w:t>（</w:t>
      </w:r>
      <w:r>
        <w:rPr>
          <w:rFonts w:ascii="宋体" w:hAnsi="宋体"/>
          <w:szCs w:val="24"/>
        </w:rPr>
        <w:t>3</w:t>
      </w:r>
      <w:r>
        <w:rPr>
          <w:rFonts w:hint="eastAsia" w:ascii="宋体" w:hAnsi="宋体"/>
          <w:szCs w:val="24"/>
        </w:rPr>
        <w:t>）</w:t>
      </w:r>
      <w:r>
        <w:t>设备应具备</w:t>
      </w:r>
      <w:r>
        <w:rPr>
          <w:rFonts w:hint="eastAsia"/>
        </w:rPr>
        <w:t>RTC时钟功能；</w:t>
      </w:r>
    </w:p>
    <w:p>
      <w:pPr>
        <w:spacing w:before="166" w:beforeLines="50" w:after="166" w:afterLines="50" w:line="0" w:lineRule="atLeast"/>
      </w:pPr>
      <w:r>
        <w:rPr>
          <w:rFonts w:hint="eastAsia" w:ascii="宋体" w:hAnsi="宋体"/>
          <w:szCs w:val="24"/>
        </w:rPr>
        <w:t>（</w:t>
      </w:r>
      <w:r>
        <w:rPr>
          <w:rFonts w:ascii="宋体" w:hAnsi="宋体"/>
          <w:szCs w:val="24"/>
        </w:rPr>
        <w:t>4</w:t>
      </w:r>
      <w:r>
        <w:rPr>
          <w:rFonts w:hint="eastAsia" w:ascii="宋体" w:hAnsi="宋体"/>
          <w:szCs w:val="24"/>
        </w:rPr>
        <w:t>）</w:t>
      </w:r>
      <w:r>
        <w:rPr>
          <w:rFonts w:hint="eastAsia"/>
        </w:rPr>
        <w:t>外存储：</w:t>
      </w:r>
      <w:r>
        <w:rPr>
          <w:rFonts w:hint="eastAsia" w:ascii="宋体" w:hAnsi="宋体"/>
          <w:szCs w:val="24"/>
        </w:rPr>
        <w:t>≥</w:t>
      </w:r>
      <w:r>
        <w:t>4GB</w:t>
      </w:r>
    </w:p>
    <w:p>
      <w:pPr>
        <w:spacing w:before="166" w:beforeLines="50" w:after="166" w:afterLines="50" w:line="0" w:lineRule="atLeast"/>
      </w:pPr>
      <w:r>
        <w:rPr>
          <w:rFonts w:hint="eastAsia" w:ascii="宋体" w:hAnsi="宋体"/>
          <w:szCs w:val="24"/>
        </w:rPr>
        <w:t>（</w:t>
      </w:r>
      <w:r>
        <w:rPr>
          <w:rFonts w:ascii="宋体" w:hAnsi="宋体"/>
          <w:szCs w:val="24"/>
        </w:rPr>
        <w:t>5</w:t>
      </w:r>
      <w:r>
        <w:rPr>
          <w:rFonts w:hint="eastAsia" w:ascii="宋体" w:hAnsi="宋体"/>
          <w:szCs w:val="24"/>
        </w:rPr>
        <w:t>）★</w:t>
      </w:r>
      <w:r>
        <w:rPr>
          <w:rFonts w:hint="eastAsia"/>
        </w:rPr>
        <w:t>液晶屏：</w:t>
      </w:r>
      <w:r>
        <w:rPr>
          <w:rFonts w:hint="eastAsia" w:ascii="宋体" w:hAnsi="宋体"/>
          <w:szCs w:val="24"/>
        </w:rPr>
        <w:t>≥</w:t>
      </w:r>
      <w:r>
        <w:rPr>
          <w:rFonts w:hint="eastAsia"/>
        </w:rPr>
        <w:t>4.3寸，</w:t>
      </w:r>
    </w:p>
    <w:p>
      <w:pPr>
        <w:spacing w:before="166" w:beforeLines="50" w:after="166" w:afterLines="50" w:line="0" w:lineRule="atLeast"/>
      </w:pPr>
      <w:r>
        <w:rPr>
          <w:rFonts w:hint="eastAsia" w:ascii="宋体" w:hAnsi="宋体"/>
          <w:szCs w:val="24"/>
        </w:rPr>
        <w:t>（</w:t>
      </w:r>
      <w:r>
        <w:rPr>
          <w:rFonts w:ascii="宋体" w:hAnsi="宋体"/>
          <w:szCs w:val="24"/>
        </w:rPr>
        <w:t>6</w:t>
      </w:r>
      <w:r>
        <w:rPr>
          <w:rFonts w:hint="eastAsia" w:ascii="宋体" w:hAnsi="宋体"/>
          <w:szCs w:val="24"/>
        </w:rPr>
        <w:t>）</w:t>
      </w:r>
      <w:r>
        <w:rPr>
          <w:rFonts w:hint="eastAsia"/>
        </w:rPr>
        <w:t>触摸屏：红外触摸</w:t>
      </w:r>
    </w:p>
    <w:p>
      <w:pPr>
        <w:spacing w:before="166" w:beforeLines="50" w:after="166" w:afterLines="50" w:line="0" w:lineRule="atLeast"/>
      </w:pPr>
      <w:r>
        <w:rPr>
          <w:rFonts w:hint="eastAsia" w:ascii="宋体" w:hAnsi="宋体"/>
          <w:szCs w:val="24"/>
        </w:rPr>
        <w:t>（</w:t>
      </w:r>
      <w:r>
        <w:rPr>
          <w:rFonts w:ascii="宋体" w:hAnsi="宋体"/>
          <w:szCs w:val="24"/>
        </w:rPr>
        <w:t>7</w:t>
      </w:r>
      <w:r>
        <w:rPr>
          <w:rFonts w:hint="eastAsia" w:ascii="宋体" w:hAnsi="宋体"/>
          <w:szCs w:val="24"/>
        </w:rPr>
        <w:t>）</w:t>
      </w:r>
      <w:r>
        <w:rPr>
          <w:rFonts w:hint="eastAsia"/>
        </w:rPr>
        <w:t>分辨率：</w:t>
      </w:r>
      <w:r>
        <w:rPr>
          <w:rFonts w:hint="eastAsia" w:ascii="宋体" w:hAnsi="宋体"/>
          <w:szCs w:val="24"/>
        </w:rPr>
        <w:t>≥</w:t>
      </w:r>
      <w:r>
        <w:t>800x480</w:t>
      </w:r>
    </w:p>
    <w:p>
      <w:pPr>
        <w:pStyle w:val="3"/>
        <w:ind w:firstLine="0" w:firstLineChars="0"/>
      </w:pPr>
      <w:r>
        <w:rPr>
          <w:rFonts w:hint="eastAsia" w:ascii="宋体" w:hAnsi="宋体"/>
          <w:szCs w:val="24"/>
        </w:rPr>
        <w:t>（</w:t>
      </w:r>
      <w:r>
        <w:rPr>
          <w:rFonts w:ascii="宋体" w:hAnsi="宋体"/>
          <w:szCs w:val="24"/>
        </w:rPr>
        <w:t>8</w:t>
      </w:r>
      <w:r>
        <w:rPr>
          <w:rFonts w:hint="eastAsia" w:ascii="宋体" w:hAnsi="宋体"/>
          <w:szCs w:val="24"/>
        </w:rPr>
        <w:t>）</w:t>
      </w:r>
      <w:r>
        <w:rPr>
          <w:rFonts w:hint="eastAsia"/>
        </w:rPr>
        <w:t>接口应具备：USB接口；</w:t>
      </w:r>
    </w:p>
    <w:p>
      <w:pPr>
        <w:pStyle w:val="3"/>
        <w:ind w:firstLine="0" w:firstLineChars="0"/>
      </w:pPr>
      <w:r>
        <w:rPr>
          <w:rFonts w:hint="eastAsia" w:ascii="宋体" w:hAnsi="宋体"/>
          <w:szCs w:val="24"/>
        </w:rPr>
        <w:t>（</w:t>
      </w:r>
      <w:r>
        <w:rPr>
          <w:rFonts w:ascii="宋体" w:hAnsi="宋体"/>
          <w:szCs w:val="24"/>
        </w:rPr>
        <w:t>9</w:t>
      </w:r>
      <w:r>
        <w:rPr>
          <w:rFonts w:hint="eastAsia" w:ascii="宋体" w:hAnsi="宋体"/>
          <w:szCs w:val="24"/>
        </w:rPr>
        <w:t>）</w:t>
      </w:r>
      <w:r>
        <w:rPr>
          <w:rFonts w:hint="eastAsia"/>
        </w:rPr>
        <w:t>支持以太网口；无线WIFI ；蓝牙等</w:t>
      </w:r>
    </w:p>
    <w:p>
      <w:pPr>
        <w:pStyle w:val="6"/>
        <w:spacing w:line="413" w:lineRule="auto"/>
        <w:ind w:left="0" w:firstLine="0"/>
      </w:pPr>
      <w:bookmarkStart w:id="46" w:name="_Toc53656679"/>
      <w:r>
        <w:rPr>
          <w:rFonts w:hint="eastAsia"/>
        </w:rPr>
        <w:t>机顶盒</w:t>
      </w:r>
      <w:bookmarkEnd w:id="46"/>
    </w:p>
    <w:p>
      <w:pPr>
        <w:spacing w:before="166" w:beforeLines="50" w:after="166" w:afterLines="50" w:line="0" w:lineRule="atLeast"/>
      </w:pPr>
      <w:r>
        <w:rPr>
          <w:rFonts w:hint="eastAsia" w:ascii="宋体" w:hAnsi="宋体"/>
          <w:szCs w:val="24"/>
        </w:rPr>
        <w:t>（1）★</w:t>
      </w:r>
      <w:r>
        <w:t>CPU:</w:t>
      </w:r>
      <w:r>
        <w:rPr>
          <w:rFonts w:hint="eastAsia"/>
        </w:rPr>
        <w:t xml:space="preserve"> </w:t>
      </w:r>
      <w:r>
        <w:rPr>
          <w:rFonts w:hint="eastAsia" w:ascii="宋体" w:hAnsi="宋体"/>
          <w:szCs w:val="24"/>
        </w:rPr>
        <w:t>嵌入式四核1.3GHZ以上；</w:t>
      </w:r>
    </w:p>
    <w:p>
      <w:pPr>
        <w:spacing w:before="166" w:beforeLines="50" w:after="166" w:afterLines="50" w:line="0" w:lineRule="atLeast"/>
      </w:pPr>
      <w:r>
        <w:rPr>
          <w:rFonts w:hint="eastAsia" w:ascii="宋体" w:hAnsi="宋体"/>
          <w:szCs w:val="24"/>
        </w:rPr>
        <w:t>（</w:t>
      </w:r>
      <w:r>
        <w:rPr>
          <w:rFonts w:ascii="宋体" w:hAnsi="宋体"/>
          <w:szCs w:val="24"/>
        </w:rPr>
        <w:t>2</w:t>
      </w:r>
      <w:r>
        <w:rPr>
          <w:rFonts w:hint="eastAsia" w:ascii="宋体" w:hAnsi="宋体"/>
          <w:szCs w:val="24"/>
        </w:rPr>
        <w:t>）★</w:t>
      </w:r>
      <w:r>
        <w:rPr>
          <w:rFonts w:hint="eastAsia"/>
        </w:rPr>
        <w:t>操作系统：</w:t>
      </w:r>
      <w:r>
        <w:rPr>
          <w:rFonts w:hint="eastAsia" w:ascii="宋体" w:hAnsi="宋体"/>
          <w:szCs w:val="24"/>
        </w:rPr>
        <w:t>Android</w:t>
      </w:r>
      <w:r>
        <w:rPr>
          <w:rFonts w:ascii="宋体" w:hAnsi="宋体"/>
          <w:szCs w:val="24"/>
        </w:rPr>
        <w:t xml:space="preserve"> 7.0</w:t>
      </w:r>
    </w:p>
    <w:p>
      <w:pPr>
        <w:spacing w:before="166" w:beforeLines="50" w:after="166" w:afterLines="50" w:line="0" w:lineRule="atLeast"/>
      </w:pPr>
      <w:r>
        <w:rPr>
          <w:rFonts w:hint="eastAsia" w:ascii="宋体" w:hAnsi="宋体"/>
          <w:szCs w:val="24"/>
        </w:rPr>
        <w:t>（</w:t>
      </w:r>
      <w:r>
        <w:rPr>
          <w:rFonts w:ascii="宋体" w:hAnsi="宋体"/>
          <w:szCs w:val="24"/>
        </w:rPr>
        <w:t>3</w:t>
      </w:r>
      <w:r>
        <w:rPr>
          <w:rFonts w:hint="eastAsia" w:ascii="宋体" w:hAnsi="宋体"/>
          <w:szCs w:val="24"/>
        </w:rPr>
        <w:t>）DDRL3内存：≥1G；</w:t>
      </w:r>
    </w:p>
    <w:p>
      <w:pPr>
        <w:spacing w:before="166" w:beforeLines="50" w:after="166" w:afterLines="50" w:line="0" w:lineRule="atLeast"/>
      </w:pPr>
      <w:r>
        <w:rPr>
          <w:rFonts w:hint="eastAsia" w:ascii="宋体" w:hAnsi="宋体"/>
          <w:szCs w:val="24"/>
        </w:rPr>
        <w:t>（</w:t>
      </w:r>
      <w:r>
        <w:rPr>
          <w:rFonts w:ascii="宋体" w:hAnsi="宋体"/>
          <w:szCs w:val="24"/>
        </w:rPr>
        <w:t>4</w:t>
      </w:r>
      <w:r>
        <w:rPr>
          <w:rFonts w:hint="eastAsia" w:ascii="宋体" w:hAnsi="宋体"/>
          <w:szCs w:val="24"/>
        </w:rPr>
        <w:t>）eMMC5.0存储：≥8G；</w:t>
      </w:r>
    </w:p>
    <w:p>
      <w:pPr>
        <w:spacing w:before="166" w:beforeLines="50" w:after="166" w:afterLines="50" w:line="0" w:lineRule="atLeast"/>
      </w:pPr>
      <w:r>
        <w:rPr>
          <w:rFonts w:hint="eastAsia" w:ascii="宋体" w:hAnsi="宋体"/>
          <w:szCs w:val="24"/>
        </w:rPr>
        <w:t>（</w:t>
      </w:r>
      <w:r>
        <w:rPr>
          <w:rFonts w:ascii="宋体" w:hAnsi="宋体"/>
          <w:szCs w:val="24"/>
        </w:rPr>
        <w:t>5</w:t>
      </w:r>
      <w:r>
        <w:rPr>
          <w:rFonts w:hint="eastAsia" w:ascii="宋体" w:hAnsi="宋体"/>
          <w:szCs w:val="24"/>
        </w:rPr>
        <w:t>）★</w:t>
      </w:r>
      <w:r>
        <w:rPr>
          <w:rFonts w:hint="eastAsia"/>
        </w:rPr>
        <w:t>视频接口：</w:t>
      </w:r>
      <w:r>
        <w:rPr>
          <w:rFonts w:ascii="宋体" w:hAnsi="宋体"/>
          <w:szCs w:val="24"/>
        </w:rPr>
        <w:t>VGA /HDMI</w:t>
      </w:r>
      <w:r>
        <w:rPr>
          <w:rFonts w:hint="eastAsia" w:ascii="宋体" w:hAnsi="宋体"/>
          <w:szCs w:val="24"/>
        </w:rPr>
        <w:t>（支持4K）</w:t>
      </w:r>
      <w:r>
        <w:rPr>
          <w:rFonts w:ascii="宋体" w:hAnsi="宋体"/>
          <w:szCs w:val="24"/>
        </w:rPr>
        <w:t xml:space="preserve"> out</w:t>
      </w:r>
    </w:p>
    <w:p>
      <w:pPr>
        <w:spacing w:line="560" w:lineRule="exact"/>
        <w:rPr>
          <w:rFonts w:ascii="宋体" w:hAnsi="宋体"/>
          <w:szCs w:val="24"/>
        </w:rPr>
      </w:pPr>
      <w:r>
        <w:rPr>
          <w:rFonts w:hint="eastAsia" w:ascii="宋体" w:hAnsi="宋体"/>
          <w:szCs w:val="24"/>
        </w:rPr>
        <w:t>（</w:t>
      </w:r>
      <w:r>
        <w:rPr>
          <w:rFonts w:ascii="宋体" w:hAnsi="宋体"/>
          <w:szCs w:val="24"/>
        </w:rPr>
        <w:t>6</w:t>
      </w:r>
      <w:r>
        <w:rPr>
          <w:rFonts w:hint="eastAsia" w:ascii="宋体" w:hAnsi="宋体"/>
          <w:szCs w:val="24"/>
        </w:rPr>
        <w:t>）支持硬解码：RMVB/AVI/MPG/MKV/VOB/MP4</w:t>
      </w:r>
    </w:p>
    <w:p>
      <w:pPr>
        <w:spacing w:line="560" w:lineRule="exact"/>
        <w:rPr>
          <w:rFonts w:ascii="宋体" w:hAnsi="宋体"/>
          <w:szCs w:val="24"/>
        </w:rPr>
      </w:pPr>
      <w:r>
        <w:rPr>
          <w:rFonts w:hint="eastAsia" w:ascii="宋体" w:hAnsi="宋体"/>
          <w:szCs w:val="24"/>
        </w:rPr>
        <w:t>（</w:t>
      </w:r>
      <w:r>
        <w:rPr>
          <w:rFonts w:ascii="宋体" w:hAnsi="宋体"/>
          <w:szCs w:val="24"/>
        </w:rPr>
        <w:t>7</w:t>
      </w:r>
      <w:r>
        <w:rPr>
          <w:rFonts w:hint="eastAsia" w:ascii="宋体" w:hAnsi="宋体"/>
          <w:szCs w:val="24"/>
        </w:rPr>
        <w:t>）音频解码支持：支持MP3、WMA、AAC;</w:t>
      </w:r>
    </w:p>
    <w:p>
      <w:pPr>
        <w:spacing w:line="560" w:lineRule="exact"/>
        <w:rPr>
          <w:rFonts w:ascii="宋体" w:hAnsi="宋体"/>
          <w:szCs w:val="24"/>
        </w:rPr>
      </w:pPr>
      <w:r>
        <w:rPr>
          <w:rFonts w:hint="eastAsia" w:ascii="宋体" w:hAnsi="宋体"/>
          <w:szCs w:val="24"/>
        </w:rPr>
        <w:t>（</w:t>
      </w:r>
      <w:r>
        <w:rPr>
          <w:rFonts w:ascii="宋体" w:hAnsi="宋体"/>
          <w:szCs w:val="24"/>
        </w:rPr>
        <w:t>8</w:t>
      </w:r>
      <w:r>
        <w:rPr>
          <w:rFonts w:hint="eastAsia" w:ascii="宋体" w:hAnsi="宋体"/>
          <w:szCs w:val="24"/>
        </w:rPr>
        <w:t>）图片支持：支持BMP、JPEG、GIF、PNG；</w:t>
      </w:r>
    </w:p>
    <w:p>
      <w:pPr>
        <w:spacing w:line="560" w:lineRule="exact"/>
        <w:rPr>
          <w:rFonts w:ascii="宋体" w:hAnsi="宋体"/>
          <w:szCs w:val="24"/>
        </w:rPr>
      </w:pPr>
      <w:r>
        <w:rPr>
          <w:rFonts w:hint="eastAsia" w:ascii="宋体" w:hAnsi="宋体"/>
          <w:szCs w:val="24"/>
        </w:rPr>
        <w:t>（</w:t>
      </w:r>
      <w:r>
        <w:rPr>
          <w:rFonts w:ascii="宋体" w:hAnsi="宋体"/>
          <w:szCs w:val="24"/>
        </w:rPr>
        <w:t>9</w:t>
      </w:r>
      <w:r>
        <w:rPr>
          <w:rFonts w:hint="eastAsia" w:ascii="宋体" w:hAnsi="宋体"/>
          <w:szCs w:val="24"/>
        </w:rPr>
        <w:t>）数据接口：</w:t>
      </w:r>
      <w:r>
        <w:rPr>
          <w:rFonts w:ascii="宋体" w:hAnsi="宋体"/>
          <w:szCs w:val="24"/>
        </w:rPr>
        <w:t>USB2.0/Micro USB/TF Card</w:t>
      </w:r>
    </w:p>
    <w:p>
      <w:pPr>
        <w:spacing w:line="560" w:lineRule="exact"/>
      </w:pPr>
      <w:r>
        <w:rPr>
          <w:rFonts w:hint="eastAsia" w:ascii="宋体" w:hAnsi="宋体"/>
          <w:szCs w:val="24"/>
        </w:rPr>
        <w:t>（</w:t>
      </w:r>
      <w:r>
        <w:rPr>
          <w:rFonts w:ascii="宋体" w:hAnsi="宋体"/>
          <w:szCs w:val="24"/>
        </w:rPr>
        <w:t>10</w:t>
      </w:r>
      <w:r>
        <w:rPr>
          <w:rFonts w:hint="eastAsia" w:ascii="宋体" w:hAnsi="宋体"/>
          <w:szCs w:val="24"/>
        </w:rPr>
        <w:t>）通信接口：</w:t>
      </w:r>
      <w:r>
        <w:rPr>
          <w:rFonts w:ascii="宋体" w:hAnsi="宋体"/>
          <w:szCs w:val="24"/>
        </w:rPr>
        <w:t xml:space="preserve">10/100Mbps/   </w:t>
      </w:r>
    </w:p>
    <w:bookmarkEnd w:id="40"/>
    <w:p>
      <w:pPr>
        <w:pStyle w:val="2"/>
      </w:pPr>
      <w:bookmarkStart w:id="47" w:name="_Toc53656680"/>
      <w:r>
        <w:rPr>
          <w:rFonts w:hint="eastAsia"/>
        </w:rPr>
        <w:t>项目管理与实施要求</w:t>
      </w:r>
      <w:bookmarkEnd w:id="47"/>
    </w:p>
    <w:p>
      <w:pPr>
        <w:pStyle w:val="5"/>
      </w:pPr>
      <w:bookmarkStart w:id="48" w:name="_Toc53656681"/>
      <w:bookmarkStart w:id="49" w:name="_Toc510606378"/>
      <w:bookmarkStart w:id="50" w:name="_Toc462781076"/>
      <w:bookmarkStart w:id="51" w:name="_Toc215458291"/>
      <w:r>
        <w:rPr>
          <w:rFonts w:hint="eastAsia"/>
        </w:rPr>
        <w:t>项目工作小组</w:t>
      </w:r>
      <w:bookmarkEnd w:id="48"/>
      <w:bookmarkEnd w:id="49"/>
      <w:bookmarkEnd w:id="50"/>
      <w:bookmarkEnd w:id="51"/>
    </w:p>
    <w:p>
      <w:pPr>
        <w:spacing w:line="360" w:lineRule="auto"/>
        <w:ind w:firstLine="420"/>
        <w:rPr>
          <w:rFonts w:eastAsia="宋体"/>
          <w:sz w:val="21"/>
          <w:szCs w:val="21"/>
        </w:rPr>
      </w:pPr>
      <w:r>
        <w:rPr>
          <w:rFonts w:hint="eastAsia" w:eastAsia="宋体"/>
          <w:sz w:val="21"/>
          <w:szCs w:val="21"/>
        </w:rPr>
        <w:t>供应商应成立针对信息系统建设的项目工作组，成员包括：</w:t>
      </w:r>
    </w:p>
    <w:p>
      <w:pPr>
        <w:numPr>
          <w:ilvl w:val="0"/>
          <w:numId w:val="15"/>
        </w:numPr>
        <w:spacing w:line="360" w:lineRule="auto"/>
        <w:rPr>
          <w:rFonts w:ascii="宋体" w:hAnsi="宋体" w:eastAsia="宋体"/>
          <w:sz w:val="21"/>
          <w:szCs w:val="21"/>
        </w:rPr>
      </w:pPr>
      <w:r>
        <w:rPr>
          <w:rFonts w:hint="eastAsia" w:ascii="宋体" w:hAnsi="宋体" w:eastAsia="宋体"/>
          <w:sz w:val="21"/>
          <w:szCs w:val="21"/>
        </w:rPr>
        <w:t>项目经理：具备三年以上同类项目管理工作经验，并全权代表供应商执行各项技术及管理工作；</w:t>
      </w:r>
    </w:p>
    <w:p>
      <w:pPr>
        <w:numPr>
          <w:ilvl w:val="0"/>
          <w:numId w:val="15"/>
        </w:numPr>
        <w:spacing w:line="360" w:lineRule="auto"/>
        <w:rPr>
          <w:rFonts w:ascii="宋体" w:hAnsi="宋体" w:eastAsia="宋体"/>
          <w:sz w:val="21"/>
          <w:szCs w:val="21"/>
        </w:rPr>
      </w:pPr>
      <w:r>
        <w:rPr>
          <w:rFonts w:hint="eastAsia" w:ascii="宋体" w:hAnsi="宋体" w:eastAsia="宋体"/>
          <w:sz w:val="21"/>
          <w:szCs w:val="21"/>
        </w:rPr>
        <w:t xml:space="preserve">系统分析员：具备三年以上系统分析经验，并具有在多种平台上开发的应用管理和系统分析经验； </w:t>
      </w:r>
    </w:p>
    <w:p>
      <w:pPr>
        <w:numPr>
          <w:ilvl w:val="0"/>
          <w:numId w:val="15"/>
        </w:numPr>
        <w:spacing w:line="360" w:lineRule="auto"/>
        <w:rPr>
          <w:rFonts w:ascii="宋体" w:hAnsi="宋体" w:eastAsia="宋体"/>
          <w:sz w:val="21"/>
          <w:szCs w:val="21"/>
        </w:rPr>
      </w:pPr>
      <w:r>
        <w:rPr>
          <w:rFonts w:hint="eastAsia" w:ascii="宋体" w:hAnsi="宋体" w:eastAsia="宋体"/>
          <w:sz w:val="21"/>
          <w:szCs w:val="21"/>
        </w:rPr>
        <w:t>项目实施人员：项目签约后，供应商须提供常驻项目实施人员在相应现场工作，直至项目结束。</w:t>
      </w:r>
    </w:p>
    <w:p>
      <w:pPr>
        <w:numPr>
          <w:ilvl w:val="0"/>
          <w:numId w:val="15"/>
        </w:numPr>
        <w:spacing w:line="360" w:lineRule="auto"/>
        <w:rPr>
          <w:rFonts w:ascii="宋体" w:hAnsi="宋体" w:eastAsia="宋体"/>
          <w:sz w:val="21"/>
          <w:szCs w:val="21"/>
        </w:rPr>
      </w:pPr>
      <w:r>
        <w:rPr>
          <w:rFonts w:hint="eastAsia" w:ascii="宋体" w:hAnsi="宋体" w:eastAsia="宋体"/>
          <w:sz w:val="21"/>
          <w:szCs w:val="21"/>
        </w:rPr>
        <w:t>项目管理与上线实现人员：系统上线期间，供应商须提供项目管理与上线实现人员；人员须为供应商正式员工，且任职一年以上。</w:t>
      </w:r>
    </w:p>
    <w:p>
      <w:pPr>
        <w:pStyle w:val="5"/>
      </w:pPr>
      <w:bookmarkStart w:id="52" w:name="_Toc510606379"/>
      <w:bookmarkStart w:id="53" w:name="_Toc462781077"/>
      <w:bookmarkStart w:id="54" w:name="_Toc53656682"/>
      <w:r>
        <w:rPr>
          <w:rFonts w:hint="eastAsia"/>
        </w:rPr>
        <w:t>项目进度要求</w:t>
      </w:r>
      <w:bookmarkEnd w:id="52"/>
      <w:bookmarkEnd w:id="53"/>
      <w:bookmarkEnd w:id="54"/>
    </w:p>
    <w:p>
      <w:pPr>
        <w:spacing w:line="360" w:lineRule="auto"/>
        <w:ind w:firstLine="440" w:firstLineChars="200"/>
        <w:rPr>
          <w:rFonts w:eastAsia="宋体"/>
          <w:sz w:val="22"/>
        </w:rPr>
      </w:pPr>
      <w:r>
        <w:rPr>
          <w:rFonts w:hint="eastAsia" w:eastAsia="宋体"/>
          <w:sz w:val="22"/>
        </w:rPr>
        <w:t>采购人根据对核心业务实施内容的工期要求（由用户方最终确定），要按时保质完成系统上线工作。</w:t>
      </w:r>
    </w:p>
    <w:p>
      <w:pPr>
        <w:pStyle w:val="5"/>
        <w:rPr>
          <w:color w:val="000000" w:themeColor="text1"/>
          <w14:textFill>
            <w14:solidFill>
              <w14:schemeClr w14:val="tx1"/>
            </w14:solidFill>
          </w14:textFill>
        </w:rPr>
      </w:pPr>
      <w:bookmarkStart w:id="55" w:name="_Toc215458294"/>
      <w:bookmarkStart w:id="56" w:name="_Toc53656683"/>
      <w:bookmarkStart w:id="57" w:name="_Toc462781078"/>
      <w:bookmarkStart w:id="58" w:name="_Toc510606380"/>
      <w:bookmarkStart w:id="59" w:name="_Toc181375118"/>
      <w:bookmarkStart w:id="60" w:name="_Toc212521631"/>
      <w:r>
        <w:rPr>
          <w:rFonts w:hint="eastAsia"/>
          <w:color w:val="000000" w:themeColor="text1"/>
          <w14:textFill>
            <w14:solidFill>
              <w14:schemeClr w14:val="tx1"/>
            </w14:solidFill>
          </w14:textFill>
        </w:rPr>
        <w:t>文档资料管理</w:t>
      </w:r>
      <w:bookmarkEnd w:id="55"/>
      <w:bookmarkEnd w:id="56"/>
      <w:bookmarkEnd w:id="57"/>
      <w:bookmarkEnd w:id="58"/>
      <w:bookmarkEnd w:id="59"/>
      <w:bookmarkEnd w:id="60"/>
    </w:p>
    <w:p>
      <w:pPr>
        <w:spacing w:line="360" w:lineRule="auto"/>
        <w:ind w:firstLine="420" w:firstLineChars="200"/>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文档是保证项目的实施连贯性的重要保证，投标人需要提供完善的文档，并对项目进行过程中的文档进行有效的管理，接受用户方对项目各阶段评估分析和监督管理。</w:t>
      </w:r>
    </w:p>
    <w:p>
      <w:pPr>
        <w:spacing w:line="360" w:lineRule="auto"/>
        <w:ind w:firstLine="420" w:firstLineChars="200"/>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整个项目的过程包括后期修改维护贯穿ISO9001和CMM的规范，使用国家标准码，提供齐全的项目管理、设计和开发、操作说明书面文档和电子版，在项目具备验收条件时，需向甲方提交包含但不限于以下的文档后方可验收，文档参考列表：开工报告、实施方案、项目需求文档、软件概要设计、软件详细设计、数据库设计、数据库字典、服务器部署详细文档、客户端安装文档和安装文件、软件测试文档、系统试运行文档、建设成果移交清单、接口文档、存储过程文档、项目记录和联系类文档、项目培训类文档、售后服务方案、 验收方案、验收报告、操作维护手册、售后服务承诺等。</w:t>
      </w:r>
    </w:p>
    <w:p>
      <w:pPr>
        <w:pStyle w:val="2"/>
        <w:rPr>
          <w:rFonts w:ascii="Calibri" w:hAnsi="Calibri" w:eastAsia="宋体"/>
        </w:rPr>
      </w:pPr>
      <w:bookmarkStart w:id="61" w:name="_Toc448934261"/>
      <w:bookmarkEnd w:id="61"/>
      <w:bookmarkStart w:id="62" w:name="_Toc53656684"/>
      <w:r>
        <w:rPr>
          <w:rFonts w:hint="eastAsia"/>
        </w:rPr>
        <w:t>培训要求</w:t>
      </w:r>
      <w:bookmarkEnd w:id="62"/>
    </w:p>
    <w:p>
      <w:pPr>
        <w:spacing w:line="360" w:lineRule="auto"/>
        <w:ind w:firstLine="420" w:firstLineChars="200"/>
        <w:rPr>
          <w:rFonts w:eastAsia="宋体"/>
          <w:sz w:val="21"/>
          <w:szCs w:val="21"/>
        </w:rPr>
      </w:pPr>
      <w:r>
        <w:rPr>
          <w:rFonts w:hint="eastAsia" w:eastAsia="宋体"/>
          <w:sz w:val="21"/>
          <w:szCs w:val="21"/>
        </w:rPr>
        <w:t>为培训是获得知识的一个重要手段，因此为了保证系统顺利完成，投标人需要准备一份完整的培训计划，对各类人员进行相关的培训，同时需要负责培训的实施；包括培训文档的准备。</w:t>
      </w:r>
    </w:p>
    <w:p>
      <w:pPr>
        <w:spacing w:line="360" w:lineRule="auto"/>
        <w:ind w:firstLine="420" w:firstLineChars="200"/>
        <w:rPr>
          <w:rFonts w:eastAsia="宋体"/>
          <w:sz w:val="21"/>
          <w:szCs w:val="21"/>
        </w:rPr>
      </w:pPr>
      <w:r>
        <w:rPr>
          <w:rFonts w:hint="eastAsia" w:eastAsia="宋体"/>
          <w:sz w:val="21"/>
          <w:szCs w:val="21"/>
        </w:rPr>
        <w:t>对与信息系统的相关技术，投标人也需要提供必要的手段保证能够将其传授与相关技术人员。</w:t>
      </w:r>
    </w:p>
    <w:p>
      <w:pPr>
        <w:spacing w:line="300" w:lineRule="auto"/>
        <w:ind w:firstLine="420"/>
        <w:rPr>
          <w:rFonts w:eastAsia="宋体"/>
          <w:sz w:val="21"/>
          <w:szCs w:val="21"/>
        </w:rPr>
      </w:pPr>
      <w:r>
        <w:rPr>
          <w:rFonts w:hint="eastAsia" w:eastAsia="宋体"/>
          <w:sz w:val="21"/>
          <w:szCs w:val="21"/>
        </w:rPr>
        <w:t>与培训相关的费用，投标人应当一并计算在投标报价中，在实施完成结束前，将不为此支付此类费用。</w:t>
      </w:r>
    </w:p>
    <w:p>
      <w:pPr>
        <w:pStyle w:val="2"/>
      </w:pPr>
      <w:bookmarkStart w:id="63" w:name="_Toc53656685"/>
      <w:r>
        <w:t>技术</w:t>
      </w:r>
      <w:r>
        <w:rPr>
          <w:rFonts w:hint="eastAsia"/>
        </w:rPr>
        <w:t>实现和服务要求</w:t>
      </w:r>
      <w:bookmarkEnd w:id="63"/>
    </w:p>
    <w:p>
      <w:pPr>
        <w:numPr>
          <w:ilvl w:val="0"/>
          <w:numId w:val="16"/>
        </w:numPr>
        <w:spacing w:line="360" w:lineRule="auto"/>
        <w:rPr>
          <w:rFonts w:eastAsia="宋体"/>
          <w:sz w:val="21"/>
          <w:szCs w:val="21"/>
        </w:rPr>
      </w:pPr>
      <w:r>
        <w:rPr>
          <w:rFonts w:hint="eastAsia" w:eastAsia="宋体"/>
          <w:sz w:val="21"/>
          <w:szCs w:val="21"/>
        </w:rPr>
        <w:t>投标人应该提供各类技术人员的职责，方便用户与相关人员的沟通，协助制定相关子系统的操作规章制度。</w:t>
      </w:r>
    </w:p>
    <w:p>
      <w:pPr>
        <w:numPr>
          <w:ilvl w:val="0"/>
          <w:numId w:val="16"/>
        </w:numPr>
        <w:spacing w:line="360" w:lineRule="auto"/>
        <w:rPr>
          <w:rFonts w:eastAsia="宋体"/>
          <w:sz w:val="21"/>
          <w:szCs w:val="21"/>
        </w:rPr>
      </w:pPr>
      <w:r>
        <w:rPr>
          <w:rFonts w:hint="eastAsia" w:eastAsia="宋体"/>
          <w:sz w:val="21"/>
          <w:szCs w:val="21"/>
        </w:rPr>
        <w:t>软件产品的技术实现服务免费维护期为一年。免费维护期过后，签订技术售后服务合同，软件售后服务费用按照双方协议价格收取。技术免费维护期自甲、乙双方代表在最终项目验收单上签字之日起计算。</w:t>
      </w:r>
    </w:p>
    <w:p>
      <w:pPr>
        <w:numPr>
          <w:ilvl w:val="0"/>
          <w:numId w:val="16"/>
        </w:numPr>
        <w:spacing w:line="360" w:lineRule="auto"/>
        <w:rPr>
          <w:rFonts w:eastAsia="宋体"/>
          <w:sz w:val="21"/>
          <w:szCs w:val="21"/>
        </w:rPr>
      </w:pPr>
      <w:r>
        <w:rPr>
          <w:rFonts w:hint="eastAsia" w:eastAsia="宋体"/>
          <w:sz w:val="21"/>
          <w:szCs w:val="21"/>
        </w:rPr>
        <w:t>软件产品免费维护期内，应提供系统扩充、升级方面的技术实现服务。</w:t>
      </w:r>
    </w:p>
    <w:p>
      <w:pPr>
        <w:numPr>
          <w:ilvl w:val="0"/>
          <w:numId w:val="16"/>
        </w:numPr>
        <w:spacing w:line="360" w:lineRule="auto"/>
        <w:rPr>
          <w:rFonts w:eastAsia="宋体"/>
          <w:sz w:val="21"/>
          <w:szCs w:val="21"/>
        </w:rPr>
      </w:pPr>
      <w:r>
        <w:rPr>
          <w:rFonts w:hint="eastAsia" w:eastAsia="宋体"/>
          <w:sz w:val="21"/>
          <w:szCs w:val="21"/>
        </w:rPr>
        <w:t>投标人应该在项目的实施过程中提供软件实现的服务，这些服务应该包括：</w:t>
      </w:r>
    </w:p>
    <w:p>
      <w:pPr>
        <w:numPr>
          <w:ilvl w:val="0"/>
          <w:numId w:val="17"/>
        </w:numPr>
        <w:tabs>
          <w:tab w:val="clear" w:pos="1838"/>
        </w:tabs>
        <w:spacing w:line="360" w:lineRule="auto"/>
        <w:ind w:left="910" w:leftChars="229" w:hanging="360"/>
        <w:rPr>
          <w:rFonts w:ascii="宋体" w:hAnsi="宋体" w:eastAsia="宋体"/>
          <w:sz w:val="21"/>
          <w:szCs w:val="21"/>
        </w:rPr>
      </w:pPr>
      <w:r>
        <w:rPr>
          <w:rFonts w:hint="eastAsia" w:ascii="宋体" w:hAnsi="宋体" w:eastAsia="宋体"/>
          <w:sz w:val="21"/>
          <w:szCs w:val="21"/>
        </w:rPr>
        <w:t>对影响到应用系统平稳作业的问题解答与分析，并提出解决方案；</w:t>
      </w:r>
    </w:p>
    <w:p>
      <w:pPr>
        <w:numPr>
          <w:ilvl w:val="0"/>
          <w:numId w:val="17"/>
        </w:numPr>
        <w:tabs>
          <w:tab w:val="clear" w:pos="1838"/>
        </w:tabs>
        <w:spacing w:line="360" w:lineRule="auto"/>
        <w:ind w:left="910" w:leftChars="229" w:hanging="360"/>
        <w:rPr>
          <w:rFonts w:ascii="宋体" w:hAnsi="宋体" w:eastAsia="宋体"/>
          <w:sz w:val="21"/>
          <w:szCs w:val="21"/>
        </w:rPr>
      </w:pPr>
      <w:r>
        <w:rPr>
          <w:rFonts w:hint="eastAsia" w:ascii="宋体" w:hAnsi="宋体" w:eastAsia="宋体"/>
          <w:sz w:val="21"/>
          <w:szCs w:val="21"/>
        </w:rPr>
        <w:t>定期进行程序错误的修改、维护、实施；</w:t>
      </w:r>
    </w:p>
    <w:p>
      <w:pPr>
        <w:numPr>
          <w:ilvl w:val="0"/>
          <w:numId w:val="17"/>
        </w:numPr>
        <w:tabs>
          <w:tab w:val="clear" w:pos="1838"/>
        </w:tabs>
        <w:spacing w:line="360" w:lineRule="auto"/>
        <w:ind w:left="910" w:leftChars="229" w:hanging="360"/>
        <w:rPr>
          <w:rFonts w:ascii="宋体" w:hAnsi="宋体" w:eastAsia="宋体"/>
          <w:sz w:val="21"/>
          <w:szCs w:val="21"/>
        </w:rPr>
      </w:pPr>
      <w:r>
        <w:rPr>
          <w:rFonts w:hint="eastAsia" w:ascii="宋体" w:hAnsi="宋体" w:eastAsia="宋体"/>
          <w:sz w:val="21"/>
          <w:szCs w:val="21"/>
        </w:rPr>
        <w:t>信息系统的服务关联到软硬件的各个方面，因此必须对所有相关的变化进行实时的更新；</w:t>
      </w:r>
    </w:p>
    <w:p>
      <w:pPr>
        <w:numPr>
          <w:ilvl w:val="0"/>
          <w:numId w:val="17"/>
        </w:numPr>
        <w:tabs>
          <w:tab w:val="clear" w:pos="1838"/>
        </w:tabs>
        <w:spacing w:line="360" w:lineRule="auto"/>
        <w:ind w:left="910" w:leftChars="229" w:hanging="360"/>
        <w:rPr>
          <w:rFonts w:ascii="宋体" w:hAnsi="宋体" w:eastAsia="宋体"/>
          <w:sz w:val="21"/>
          <w:szCs w:val="21"/>
        </w:rPr>
      </w:pPr>
      <w:r>
        <w:rPr>
          <w:rFonts w:hint="eastAsia" w:ascii="宋体" w:hAnsi="宋体" w:eastAsia="宋体"/>
          <w:sz w:val="21"/>
          <w:szCs w:val="21"/>
        </w:rPr>
        <w:t>对所有的维护活动进行记录，并形成规范的文档，例如记录时间、地点、原因，最后还要注明完成的时间和人员；</w:t>
      </w:r>
    </w:p>
    <w:p>
      <w:pPr>
        <w:numPr>
          <w:ilvl w:val="0"/>
          <w:numId w:val="17"/>
        </w:numPr>
        <w:tabs>
          <w:tab w:val="clear" w:pos="1838"/>
        </w:tabs>
        <w:spacing w:line="360" w:lineRule="auto"/>
        <w:ind w:left="910" w:leftChars="229" w:hanging="360"/>
        <w:rPr>
          <w:rFonts w:ascii="宋体" w:hAnsi="宋体" w:eastAsia="宋体"/>
          <w:sz w:val="21"/>
          <w:szCs w:val="21"/>
        </w:rPr>
      </w:pPr>
      <w:r>
        <w:rPr>
          <w:rFonts w:hint="eastAsia" w:ascii="宋体" w:hAnsi="宋体" w:eastAsia="宋体"/>
          <w:sz w:val="21"/>
          <w:szCs w:val="21"/>
        </w:rPr>
        <w:t>提供7*24小时的现场维护和故障解决；</w:t>
      </w:r>
    </w:p>
    <w:p>
      <w:pPr>
        <w:numPr>
          <w:ilvl w:val="0"/>
          <w:numId w:val="16"/>
        </w:numPr>
        <w:spacing w:line="360" w:lineRule="auto"/>
        <w:rPr>
          <w:rFonts w:eastAsia="宋体"/>
          <w:sz w:val="21"/>
          <w:szCs w:val="21"/>
        </w:rPr>
      </w:pPr>
      <w:r>
        <w:rPr>
          <w:rFonts w:hint="eastAsia" w:eastAsia="宋体"/>
          <w:sz w:val="21"/>
          <w:szCs w:val="21"/>
        </w:rPr>
        <w:t>投标人应提供系统的维护服务，维护服务包含但不局限于以下几点：</w:t>
      </w:r>
    </w:p>
    <w:p>
      <w:pPr>
        <w:numPr>
          <w:ilvl w:val="0"/>
          <w:numId w:val="18"/>
        </w:numPr>
        <w:tabs>
          <w:tab w:val="clear" w:pos="1270"/>
        </w:tabs>
        <w:spacing w:line="360" w:lineRule="auto"/>
        <w:ind w:left="492" w:leftChars="205"/>
        <w:rPr>
          <w:rFonts w:ascii="宋体" w:hAnsi="宋体" w:eastAsia="宋体"/>
          <w:sz w:val="21"/>
          <w:szCs w:val="21"/>
        </w:rPr>
      </w:pPr>
      <w:r>
        <w:rPr>
          <w:rFonts w:hint="eastAsia" w:ascii="宋体" w:hAnsi="宋体" w:eastAsia="宋体"/>
          <w:sz w:val="21"/>
          <w:szCs w:val="21"/>
        </w:rPr>
        <w:t>管理、维护系统以及与其他系统的接口；</w:t>
      </w:r>
    </w:p>
    <w:p>
      <w:pPr>
        <w:numPr>
          <w:ilvl w:val="0"/>
          <w:numId w:val="18"/>
        </w:numPr>
        <w:tabs>
          <w:tab w:val="clear" w:pos="1270"/>
        </w:tabs>
        <w:spacing w:line="360" w:lineRule="auto"/>
        <w:ind w:left="492" w:leftChars="205"/>
        <w:rPr>
          <w:rFonts w:ascii="宋体" w:hAnsi="宋体" w:eastAsia="宋体"/>
          <w:sz w:val="21"/>
          <w:szCs w:val="21"/>
        </w:rPr>
      </w:pPr>
      <w:r>
        <w:rPr>
          <w:rFonts w:hint="eastAsia" w:ascii="宋体" w:hAnsi="宋体" w:eastAsia="宋体"/>
          <w:sz w:val="21"/>
          <w:szCs w:val="21"/>
        </w:rPr>
        <w:t>问题解答、问题分析、与其他合作方的协作；</w:t>
      </w:r>
    </w:p>
    <w:p>
      <w:pPr>
        <w:numPr>
          <w:ilvl w:val="0"/>
          <w:numId w:val="18"/>
        </w:numPr>
        <w:tabs>
          <w:tab w:val="clear" w:pos="1270"/>
        </w:tabs>
        <w:spacing w:line="360" w:lineRule="auto"/>
        <w:ind w:left="492" w:leftChars="205"/>
        <w:rPr>
          <w:rFonts w:ascii="宋体" w:hAnsi="宋体" w:eastAsia="宋体"/>
          <w:sz w:val="21"/>
          <w:szCs w:val="21"/>
        </w:rPr>
      </w:pPr>
      <w:r>
        <w:rPr>
          <w:rFonts w:hint="eastAsia" w:ascii="宋体" w:hAnsi="宋体" w:eastAsia="宋体"/>
          <w:sz w:val="21"/>
          <w:szCs w:val="21"/>
        </w:rPr>
        <w:t>修正应用软件的错误；</w:t>
      </w:r>
    </w:p>
    <w:p>
      <w:pPr>
        <w:numPr>
          <w:ilvl w:val="0"/>
          <w:numId w:val="18"/>
        </w:numPr>
        <w:tabs>
          <w:tab w:val="clear" w:pos="1270"/>
        </w:tabs>
        <w:spacing w:line="360" w:lineRule="auto"/>
        <w:ind w:left="492" w:leftChars="205"/>
        <w:rPr>
          <w:rFonts w:ascii="宋体" w:hAnsi="宋体" w:eastAsia="宋体"/>
          <w:sz w:val="21"/>
          <w:szCs w:val="21"/>
        </w:rPr>
      </w:pPr>
      <w:r>
        <w:rPr>
          <w:rFonts w:hint="eastAsia" w:ascii="宋体" w:hAnsi="宋体" w:eastAsia="宋体"/>
          <w:sz w:val="21"/>
          <w:szCs w:val="21"/>
        </w:rPr>
        <w:t>维护和执行的服务必须满足系统的操作；</w:t>
      </w:r>
    </w:p>
    <w:p>
      <w:pPr>
        <w:numPr>
          <w:ilvl w:val="0"/>
          <w:numId w:val="18"/>
        </w:numPr>
        <w:tabs>
          <w:tab w:val="clear" w:pos="1270"/>
        </w:tabs>
        <w:spacing w:line="360" w:lineRule="auto"/>
        <w:ind w:left="492" w:leftChars="205"/>
        <w:rPr>
          <w:rFonts w:ascii="宋体" w:hAnsi="宋体" w:eastAsia="宋体"/>
          <w:sz w:val="21"/>
          <w:szCs w:val="21"/>
        </w:rPr>
      </w:pPr>
      <w:r>
        <w:rPr>
          <w:rFonts w:hint="eastAsia" w:ascii="宋体" w:hAnsi="宋体" w:eastAsia="宋体"/>
          <w:sz w:val="21"/>
          <w:szCs w:val="21"/>
        </w:rPr>
        <w:t>信息系统的服务是与整个系统相关的，维护服务必须保证系统的一致性与稳定性；</w:t>
      </w:r>
    </w:p>
    <w:p>
      <w:pPr>
        <w:numPr>
          <w:ilvl w:val="0"/>
          <w:numId w:val="18"/>
        </w:numPr>
        <w:tabs>
          <w:tab w:val="clear" w:pos="1270"/>
        </w:tabs>
        <w:spacing w:line="360" w:lineRule="auto"/>
        <w:ind w:left="492" w:leftChars="205"/>
        <w:rPr>
          <w:rFonts w:ascii="宋体" w:hAnsi="宋体" w:eastAsia="宋体"/>
          <w:sz w:val="21"/>
          <w:szCs w:val="21"/>
        </w:rPr>
      </w:pPr>
      <w:r>
        <w:rPr>
          <w:rFonts w:hint="eastAsia" w:ascii="宋体" w:hAnsi="宋体" w:eastAsia="宋体"/>
          <w:sz w:val="21"/>
          <w:szCs w:val="21"/>
        </w:rPr>
        <w:t>对系统的每一次改变或是升级都必须对需求进行检查；</w:t>
      </w:r>
    </w:p>
    <w:p>
      <w:pPr>
        <w:widowControl/>
        <w:numPr>
          <w:ilvl w:val="0"/>
          <w:numId w:val="18"/>
        </w:numPr>
        <w:tabs>
          <w:tab w:val="clear" w:pos="1270"/>
        </w:tabs>
        <w:spacing w:line="360" w:lineRule="auto"/>
        <w:ind w:left="492" w:leftChars="205"/>
        <w:jc w:val="left"/>
        <w:rPr>
          <w:rFonts w:ascii="宋体" w:hAnsi="宋体" w:eastAsia="宋体"/>
          <w:sz w:val="21"/>
          <w:szCs w:val="21"/>
        </w:rPr>
      </w:pPr>
      <w:r>
        <w:rPr>
          <w:rFonts w:hint="eastAsia" w:ascii="宋体" w:hAnsi="宋体" w:eastAsia="宋体"/>
          <w:sz w:val="21"/>
          <w:szCs w:val="21"/>
        </w:rPr>
        <w:t>评估并保证建议的解决方案是完全符合目前的操作模式，并对系统的正常运作没有影响，所有的调优或修改建议不能够降低系统操作性能。</w:t>
      </w:r>
    </w:p>
    <w:p>
      <w:pPr>
        <w:pStyle w:val="2"/>
      </w:pPr>
      <w:bookmarkStart w:id="64" w:name="_Toc513367057"/>
      <w:bookmarkStart w:id="65" w:name="_Toc53656686"/>
      <w:r>
        <w:rPr>
          <w:rFonts w:hint="eastAsia"/>
        </w:rPr>
        <w:t>符合性</w:t>
      </w:r>
      <w:r>
        <w:t>检查</w:t>
      </w:r>
      <w:r>
        <w:rPr>
          <w:rFonts w:hint="eastAsia"/>
        </w:rPr>
        <w:t>条件</w:t>
      </w:r>
      <w:bookmarkEnd w:id="64"/>
      <w:bookmarkEnd w:id="65"/>
    </w:p>
    <w:tbl>
      <w:tblPr>
        <w:tblStyle w:val="21"/>
        <w:tblW w:w="8290" w:type="dxa"/>
        <w:jc w:val="center"/>
        <w:tblLayout w:type="fixed"/>
        <w:tblCellMar>
          <w:top w:w="0" w:type="dxa"/>
          <w:left w:w="108" w:type="dxa"/>
          <w:bottom w:w="0" w:type="dxa"/>
          <w:right w:w="108" w:type="dxa"/>
        </w:tblCellMar>
      </w:tblPr>
      <w:tblGrid>
        <w:gridCol w:w="871"/>
        <w:gridCol w:w="870"/>
        <w:gridCol w:w="1693"/>
        <w:gridCol w:w="4856"/>
      </w:tblGrid>
      <w:tr>
        <w:tblPrEx>
          <w:tblCellMar>
            <w:top w:w="0" w:type="dxa"/>
            <w:left w:w="108" w:type="dxa"/>
            <w:bottom w:w="0" w:type="dxa"/>
            <w:right w:w="108" w:type="dxa"/>
          </w:tblCellMar>
        </w:tblPrEx>
        <w:trPr>
          <w:trHeight w:val="270"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序号</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类别</w:t>
            </w:r>
          </w:p>
        </w:tc>
        <w:tc>
          <w:tcPr>
            <w:tcW w:w="16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检查内容</w:t>
            </w:r>
          </w:p>
        </w:tc>
        <w:tc>
          <w:tcPr>
            <w:tcW w:w="485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检查</w:t>
            </w:r>
            <w:r>
              <w:rPr>
                <w:rFonts w:ascii="宋体" w:hAnsi="宋体" w:eastAsia="宋体" w:cs="宋体"/>
                <w:color w:val="000000" w:themeColor="text1"/>
                <w:kern w:val="0"/>
                <w:sz w:val="21"/>
                <w:szCs w:val="21"/>
                <w14:textFill>
                  <w14:solidFill>
                    <w14:schemeClr w14:val="tx1"/>
                  </w14:solidFill>
                </w14:textFill>
              </w:rPr>
              <w:t>标准</w:t>
            </w:r>
          </w:p>
        </w:tc>
      </w:tr>
      <w:tr>
        <w:trPr>
          <w:trHeight w:val="270" w:hRule="atLeast"/>
          <w:jc w:val="center"/>
        </w:trPr>
        <w:tc>
          <w:tcPr>
            <w:tcW w:w="87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7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资格性检查</w:t>
            </w:r>
          </w:p>
        </w:tc>
        <w:tc>
          <w:tcPr>
            <w:tcW w:w="1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营业执照</w:t>
            </w:r>
          </w:p>
        </w:tc>
        <w:tc>
          <w:tcPr>
            <w:tcW w:w="48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具备有效的营业执照(三证合一或</w:t>
            </w:r>
            <w:r>
              <w:rPr>
                <w:rFonts w:ascii="宋体" w:hAnsi="宋体" w:eastAsia="宋体" w:cs="宋体"/>
                <w:color w:val="000000" w:themeColor="text1"/>
                <w:kern w:val="0"/>
                <w:sz w:val="21"/>
                <w:szCs w:val="21"/>
                <w14:textFill>
                  <w14:solidFill>
                    <w14:schemeClr w14:val="tx1"/>
                  </w14:solidFill>
                </w14:textFill>
              </w:rPr>
              <w:t>五证合一</w:t>
            </w:r>
            <w:r>
              <w:rPr>
                <w:rFonts w:hint="eastAsia" w:ascii="宋体" w:hAnsi="宋体" w:eastAsia="宋体" w:cs="宋体"/>
                <w:color w:val="000000" w:themeColor="text1"/>
                <w:kern w:val="0"/>
                <w:sz w:val="21"/>
                <w:szCs w:val="21"/>
                <w14:textFill>
                  <w14:solidFill>
                    <w14:schemeClr w14:val="tx1"/>
                  </w14:solidFill>
                </w14:textFill>
              </w:rPr>
              <w:t>)</w:t>
            </w:r>
          </w:p>
        </w:tc>
      </w:tr>
      <w:tr>
        <w:tblPrEx>
          <w:tblCellMar>
            <w:top w:w="0" w:type="dxa"/>
            <w:left w:w="108" w:type="dxa"/>
            <w:bottom w:w="0" w:type="dxa"/>
            <w:right w:w="108" w:type="dxa"/>
          </w:tblCellMar>
        </w:tblPrEx>
        <w:trPr>
          <w:trHeight w:val="270" w:hRule="atLeast"/>
          <w:jc w:val="center"/>
        </w:trPr>
        <w:tc>
          <w:tcPr>
            <w:tcW w:w="8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8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1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法人和授权代表资格</w:t>
            </w:r>
          </w:p>
        </w:tc>
        <w:tc>
          <w:tcPr>
            <w:tcW w:w="48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具有法定代表人资格证明和法定代表人授权委托书</w:t>
            </w:r>
          </w:p>
        </w:tc>
      </w:tr>
      <w:tr>
        <w:tblPrEx>
          <w:tblCellMar>
            <w:top w:w="0" w:type="dxa"/>
            <w:left w:w="108" w:type="dxa"/>
            <w:bottom w:w="0" w:type="dxa"/>
            <w:right w:w="108" w:type="dxa"/>
          </w:tblCellMar>
        </w:tblPrEx>
        <w:trPr>
          <w:trHeight w:val="270" w:hRule="atLeast"/>
          <w:jc w:val="center"/>
        </w:trPr>
        <w:tc>
          <w:tcPr>
            <w:tcW w:w="8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8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1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投标保证金</w:t>
            </w:r>
          </w:p>
        </w:tc>
        <w:tc>
          <w:tcPr>
            <w:tcW w:w="48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符合投标人须知前附表的规定</w:t>
            </w:r>
          </w:p>
        </w:tc>
      </w:tr>
      <w:tr>
        <w:tblPrEx>
          <w:tblCellMar>
            <w:top w:w="0" w:type="dxa"/>
            <w:left w:w="108" w:type="dxa"/>
            <w:bottom w:w="0" w:type="dxa"/>
            <w:right w:w="108" w:type="dxa"/>
          </w:tblCellMar>
        </w:tblPrEx>
        <w:trPr>
          <w:trHeight w:val="540" w:hRule="atLeast"/>
          <w:jc w:val="center"/>
        </w:trPr>
        <w:tc>
          <w:tcPr>
            <w:tcW w:w="8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8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1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著作权证书</w:t>
            </w:r>
          </w:p>
        </w:tc>
        <w:tc>
          <w:tcPr>
            <w:tcW w:w="48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投标人所投产品的制造商须提供医疗计算机软件著作权证书</w:t>
            </w:r>
          </w:p>
        </w:tc>
      </w:tr>
      <w:tr>
        <w:tblPrEx>
          <w:tblCellMar>
            <w:top w:w="0" w:type="dxa"/>
            <w:left w:w="108" w:type="dxa"/>
            <w:bottom w:w="0" w:type="dxa"/>
            <w:right w:w="108" w:type="dxa"/>
          </w:tblCellMar>
        </w:tblPrEx>
        <w:trPr>
          <w:trHeight w:val="270" w:hRule="atLeast"/>
          <w:jc w:val="center"/>
        </w:trPr>
        <w:tc>
          <w:tcPr>
            <w:tcW w:w="8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8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1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投标人名称</w:t>
            </w:r>
          </w:p>
        </w:tc>
        <w:tc>
          <w:tcPr>
            <w:tcW w:w="48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与营业执照、资质证书一致</w:t>
            </w:r>
          </w:p>
        </w:tc>
      </w:tr>
      <w:tr>
        <w:tblPrEx>
          <w:tblCellMar>
            <w:top w:w="0" w:type="dxa"/>
            <w:left w:w="108" w:type="dxa"/>
            <w:bottom w:w="0" w:type="dxa"/>
            <w:right w:w="108" w:type="dxa"/>
          </w:tblCellMar>
        </w:tblPrEx>
        <w:trPr>
          <w:trHeight w:val="270" w:hRule="atLeast"/>
          <w:jc w:val="center"/>
        </w:trPr>
        <w:tc>
          <w:tcPr>
            <w:tcW w:w="8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8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1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投标有效期</w:t>
            </w:r>
          </w:p>
        </w:tc>
        <w:tc>
          <w:tcPr>
            <w:tcW w:w="48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符合投标人须知前附表的规定</w:t>
            </w:r>
          </w:p>
        </w:tc>
      </w:tr>
      <w:tr>
        <w:tblPrEx>
          <w:tblCellMar>
            <w:top w:w="0" w:type="dxa"/>
            <w:left w:w="108" w:type="dxa"/>
            <w:bottom w:w="0" w:type="dxa"/>
            <w:right w:w="108" w:type="dxa"/>
          </w:tblCellMar>
        </w:tblPrEx>
        <w:trPr>
          <w:trHeight w:val="270" w:hRule="atLeast"/>
          <w:jc w:val="center"/>
        </w:trPr>
        <w:tc>
          <w:tcPr>
            <w:tcW w:w="8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8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p>
        </w:tc>
        <w:tc>
          <w:tcPr>
            <w:tcW w:w="1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投标报价</w:t>
            </w:r>
          </w:p>
        </w:tc>
        <w:tc>
          <w:tcPr>
            <w:tcW w:w="48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只有一个有效报价且未超过政府采购预算金额</w:t>
            </w:r>
          </w:p>
        </w:tc>
      </w:tr>
    </w:tbl>
    <w:p>
      <w:pPr>
        <w:pStyle w:val="2"/>
      </w:pPr>
      <w:bookmarkStart w:id="66" w:name="_Toc513367058"/>
      <w:bookmarkStart w:id="67" w:name="_Toc53656687"/>
      <w:r>
        <w:rPr>
          <w:rFonts w:hint="eastAsia"/>
        </w:rPr>
        <w:t>商务、技术、价格评审内容及标准</w:t>
      </w:r>
      <w:bookmarkEnd w:id="66"/>
      <w:bookmarkEnd w:id="67"/>
    </w:p>
    <w:tbl>
      <w:tblPr>
        <w:tblStyle w:val="21"/>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09"/>
        <w:gridCol w:w="5412"/>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5" w:type="dxa"/>
            <w:gridSpan w:val="3"/>
            <w:vAlign w:val="center"/>
          </w:tcPr>
          <w:p>
            <w:pPr>
              <w:widowControl/>
              <w:snapToGrid w:val="0"/>
              <w:jc w:val="center"/>
              <w:rPr>
                <w:color w:val="000000"/>
                <w:kern w:val="0"/>
                <w:szCs w:val="24"/>
              </w:rPr>
            </w:pPr>
            <w:r>
              <w:rPr>
                <w:rFonts w:hint="eastAsia"/>
                <w:color w:val="000000"/>
                <w:kern w:val="0"/>
                <w:szCs w:val="24"/>
              </w:rPr>
              <w:t>第一部分价格分（30分）</w:t>
            </w:r>
          </w:p>
        </w:tc>
        <w:tc>
          <w:tcPr>
            <w:tcW w:w="691" w:type="dxa"/>
            <w:vAlign w:val="center"/>
          </w:tcPr>
          <w:p>
            <w:pPr>
              <w:widowControl/>
              <w:snapToGrid w:val="0"/>
              <w:jc w:val="center"/>
              <w:rPr>
                <w:color w:val="000000"/>
                <w:kern w:val="0"/>
                <w:szCs w:val="24"/>
              </w:rPr>
            </w:pPr>
            <w:r>
              <w:rPr>
                <w:color w:val="000000"/>
                <w:kern w:val="0"/>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pPr>
              <w:widowControl/>
              <w:snapToGrid w:val="0"/>
              <w:jc w:val="center"/>
              <w:rPr>
                <w:color w:val="000000"/>
                <w:kern w:val="0"/>
                <w:szCs w:val="24"/>
              </w:rPr>
            </w:pPr>
            <w:r>
              <w:rPr>
                <w:rFonts w:hint="eastAsia"/>
                <w:color w:val="000000"/>
                <w:kern w:val="0"/>
                <w:szCs w:val="24"/>
              </w:rPr>
              <w:t>1</w:t>
            </w:r>
          </w:p>
        </w:tc>
        <w:tc>
          <w:tcPr>
            <w:tcW w:w="1309" w:type="dxa"/>
            <w:vAlign w:val="center"/>
          </w:tcPr>
          <w:p>
            <w:pPr>
              <w:widowControl/>
              <w:snapToGrid w:val="0"/>
              <w:jc w:val="center"/>
              <w:rPr>
                <w:color w:val="000000"/>
                <w:kern w:val="0"/>
                <w:szCs w:val="24"/>
              </w:rPr>
            </w:pPr>
            <w:r>
              <w:rPr>
                <w:rFonts w:hint="eastAsia"/>
                <w:color w:val="000000"/>
                <w:kern w:val="0"/>
                <w:szCs w:val="24"/>
              </w:rPr>
              <w:t>价格</w:t>
            </w:r>
          </w:p>
        </w:tc>
        <w:tc>
          <w:tcPr>
            <w:tcW w:w="5412" w:type="dxa"/>
            <w:vAlign w:val="center"/>
          </w:tcPr>
          <w:p>
            <w:pPr>
              <w:snapToGrid w:val="0"/>
              <w:ind w:firstLine="446"/>
              <w:rPr>
                <w:bCs/>
                <w:color w:val="000000"/>
              </w:rPr>
            </w:pPr>
            <w:r>
              <w:rPr>
                <w:rFonts w:hint="eastAsia"/>
                <w:bCs/>
                <w:color w:val="000000"/>
              </w:rPr>
              <w:t>（1）投标报价超过采购预算的，投标无效，未超过采购预算的投标报价按以下公式进行计算</w:t>
            </w:r>
          </w:p>
          <w:p>
            <w:pPr>
              <w:snapToGrid w:val="0"/>
              <w:ind w:firstLine="446"/>
              <w:rPr>
                <w:bCs/>
                <w:color w:val="000000"/>
              </w:rPr>
            </w:pPr>
            <w:r>
              <w:rPr>
                <w:rFonts w:hint="eastAsia"/>
                <w:bCs/>
                <w:color w:val="000000"/>
              </w:rPr>
              <w:t>（2）投标报价得分=（评标基准价/投标报价）×30</w:t>
            </w:r>
          </w:p>
          <w:p>
            <w:pPr>
              <w:snapToGrid w:val="0"/>
              <w:ind w:firstLine="446"/>
              <w:rPr>
                <w:bCs/>
                <w:color w:val="000000"/>
              </w:rPr>
            </w:pPr>
            <w:r>
              <w:rPr>
                <w:rFonts w:hint="eastAsia"/>
                <w:bCs/>
                <w:color w:val="000000"/>
              </w:rPr>
              <w:t>注：满足招标文件要求且投标报价最低的投标报价为评标基准价</w:t>
            </w:r>
          </w:p>
        </w:tc>
        <w:tc>
          <w:tcPr>
            <w:tcW w:w="691" w:type="dxa"/>
            <w:vAlign w:val="center"/>
          </w:tcPr>
          <w:p>
            <w:pPr>
              <w:widowControl/>
              <w:snapToGrid w:val="0"/>
              <w:jc w:val="center"/>
              <w:rPr>
                <w:color w:val="000000"/>
                <w:kern w:val="0"/>
                <w:szCs w:val="24"/>
              </w:rPr>
            </w:pPr>
            <w:r>
              <w:rPr>
                <w:rFonts w:hint="eastAsia"/>
                <w:color w:val="000000"/>
                <w:kern w:val="0"/>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505" w:type="dxa"/>
            <w:gridSpan w:val="3"/>
            <w:noWrap/>
            <w:vAlign w:val="center"/>
          </w:tcPr>
          <w:p>
            <w:pPr>
              <w:widowControl/>
              <w:snapToGrid w:val="0"/>
              <w:jc w:val="center"/>
              <w:rPr>
                <w:color w:val="000000"/>
                <w:kern w:val="0"/>
                <w:szCs w:val="24"/>
              </w:rPr>
            </w:pPr>
            <w:r>
              <w:rPr>
                <w:rFonts w:hint="eastAsia"/>
                <w:color w:val="000000"/>
                <w:kern w:val="0"/>
                <w:szCs w:val="24"/>
              </w:rPr>
              <w:t>第二部分商务技术分</w:t>
            </w:r>
            <w:r>
              <w:rPr>
                <w:color w:val="000000"/>
                <w:kern w:val="0"/>
                <w:szCs w:val="24"/>
              </w:rPr>
              <w:t>（</w:t>
            </w:r>
            <w:r>
              <w:rPr>
                <w:rFonts w:hint="eastAsia"/>
                <w:color w:val="000000"/>
                <w:kern w:val="0"/>
                <w:szCs w:val="24"/>
              </w:rPr>
              <w:t>70</w:t>
            </w:r>
            <w:r>
              <w:rPr>
                <w:color w:val="000000"/>
                <w:kern w:val="0"/>
                <w:szCs w:val="24"/>
              </w:rPr>
              <w:t>分）</w:t>
            </w:r>
          </w:p>
        </w:tc>
        <w:tc>
          <w:tcPr>
            <w:tcW w:w="691" w:type="dxa"/>
            <w:vAlign w:val="center"/>
          </w:tcPr>
          <w:p>
            <w:pPr>
              <w:widowControl/>
              <w:snapToGrid w:val="0"/>
              <w:jc w:val="center"/>
              <w:rPr>
                <w:color w:val="000000"/>
                <w:kern w:val="0"/>
                <w:szCs w:val="24"/>
              </w:rPr>
            </w:pPr>
            <w:r>
              <w:rPr>
                <w:rFonts w:hint="eastAsia"/>
                <w:color w:val="000000"/>
                <w:kern w:val="0"/>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pPr>
              <w:snapToGrid w:val="0"/>
              <w:ind w:firstLine="446"/>
              <w:jc w:val="center"/>
              <w:rPr>
                <w:rFonts w:eastAsia="等线"/>
                <w:color w:val="000000"/>
                <w:kern w:val="0"/>
                <w:szCs w:val="24"/>
              </w:rPr>
            </w:pPr>
            <w:r>
              <w:rPr>
                <w:rFonts w:hint="eastAsia"/>
                <w:color w:val="000000"/>
                <w:kern w:val="0"/>
                <w:szCs w:val="24"/>
              </w:rPr>
              <w:t>1</w:t>
            </w:r>
          </w:p>
        </w:tc>
        <w:tc>
          <w:tcPr>
            <w:tcW w:w="1309" w:type="dxa"/>
            <w:vAlign w:val="center"/>
          </w:tcPr>
          <w:p>
            <w:pPr>
              <w:widowControl/>
              <w:snapToGrid w:val="0"/>
              <w:jc w:val="center"/>
              <w:rPr>
                <w:color w:val="000000"/>
                <w:kern w:val="0"/>
                <w:szCs w:val="24"/>
              </w:rPr>
            </w:pPr>
            <w:r>
              <w:rPr>
                <w:rFonts w:hint="eastAsia"/>
                <w:color w:val="000000"/>
                <w:kern w:val="0"/>
                <w:szCs w:val="24"/>
              </w:rPr>
              <w:t>产品认证评价</w:t>
            </w:r>
          </w:p>
        </w:tc>
        <w:tc>
          <w:tcPr>
            <w:tcW w:w="5412" w:type="dxa"/>
            <w:vAlign w:val="center"/>
          </w:tcPr>
          <w:p>
            <w:pPr>
              <w:snapToGrid w:val="0"/>
              <w:ind w:firstLine="446"/>
              <w:rPr>
                <w:bCs/>
                <w:color w:val="000000"/>
              </w:rPr>
            </w:pPr>
            <w:r>
              <w:rPr>
                <w:rFonts w:hint="eastAsia"/>
                <w:bCs/>
                <w:color w:val="000000"/>
              </w:rPr>
              <w:t>投标人具备所投医疗导引系统管理软件、多媒体信息发布系统、门诊叫号系统、医技检查叫号系统、医技检验叫号系统、数据系统接口软件、护士分诊台管理软件、医生工作站叫号软件、信息显示客户端软件相同或相近的产品的软件著作权证书，每提供一个证书复印件得1分，最高得10分。</w:t>
            </w:r>
          </w:p>
        </w:tc>
        <w:tc>
          <w:tcPr>
            <w:tcW w:w="691" w:type="dxa"/>
            <w:vAlign w:val="center"/>
          </w:tcPr>
          <w:p>
            <w:pPr>
              <w:widowControl/>
              <w:snapToGrid w:val="0"/>
              <w:jc w:val="center"/>
              <w:rPr>
                <w:color w:val="000000"/>
                <w:kern w:val="0"/>
                <w:szCs w:val="24"/>
              </w:rPr>
            </w:pPr>
            <w:r>
              <w:rPr>
                <w:rFonts w:hint="eastAsia"/>
                <w:color w:val="000000"/>
                <w:kern w:val="0"/>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pPr>
              <w:snapToGrid w:val="0"/>
              <w:ind w:firstLine="446"/>
              <w:jc w:val="center"/>
              <w:rPr>
                <w:rFonts w:eastAsia="等线"/>
                <w:color w:val="000000"/>
                <w:kern w:val="0"/>
                <w:szCs w:val="24"/>
              </w:rPr>
            </w:pPr>
            <w:r>
              <w:rPr>
                <w:rFonts w:hint="eastAsia"/>
                <w:color w:val="000000"/>
                <w:kern w:val="0"/>
                <w:szCs w:val="24"/>
              </w:rPr>
              <w:t>2</w:t>
            </w:r>
          </w:p>
        </w:tc>
        <w:tc>
          <w:tcPr>
            <w:tcW w:w="1309" w:type="dxa"/>
            <w:vAlign w:val="center"/>
          </w:tcPr>
          <w:p>
            <w:pPr>
              <w:widowControl/>
              <w:snapToGrid w:val="0"/>
              <w:jc w:val="center"/>
              <w:rPr>
                <w:color w:val="000000"/>
                <w:kern w:val="0"/>
                <w:szCs w:val="24"/>
              </w:rPr>
            </w:pPr>
            <w:r>
              <w:rPr>
                <w:rFonts w:hint="eastAsia" w:ascii="宋体" w:hAnsi="宋体" w:eastAsia="宋体" w:cs="宋体"/>
                <w:kern w:val="0"/>
                <w:szCs w:val="21"/>
              </w:rPr>
              <w:t>制造商认证评价</w:t>
            </w:r>
          </w:p>
        </w:tc>
        <w:tc>
          <w:tcPr>
            <w:tcW w:w="5412" w:type="dxa"/>
            <w:vAlign w:val="center"/>
          </w:tcPr>
          <w:p>
            <w:pPr>
              <w:snapToGrid w:val="0"/>
              <w:ind w:firstLine="446"/>
              <w:rPr>
                <w:rFonts w:ascii="宋体" w:hAnsi="宋体" w:eastAsia="宋体" w:cs="宋体"/>
                <w:color w:val="000000"/>
                <w:kern w:val="0"/>
                <w:szCs w:val="21"/>
              </w:rPr>
            </w:pPr>
            <w:r>
              <w:rPr>
                <w:rFonts w:hint="eastAsia" w:ascii="宋体" w:hAnsi="宋体" w:eastAsia="宋体" w:cs="宋体"/>
                <w:color w:val="000000"/>
                <w:kern w:val="0"/>
                <w:szCs w:val="21"/>
              </w:rPr>
              <w:t xml:space="preserve">投标厂家提供： </w:t>
            </w:r>
          </w:p>
          <w:p>
            <w:pPr>
              <w:numPr>
                <w:ilvl w:val="0"/>
                <w:numId w:val="19"/>
              </w:numPr>
              <w:snapToGrid w:val="0"/>
              <w:ind w:firstLine="446"/>
              <w:rPr>
                <w:rFonts w:ascii="宋体" w:hAnsi="宋体" w:eastAsia="宋体" w:cs="宋体"/>
                <w:color w:val="000000"/>
                <w:kern w:val="0"/>
                <w:szCs w:val="21"/>
              </w:rPr>
            </w:pPr>
            <w:r>
              <w:rPr>
                <w:rFonts w:hint="eastAsia" w:ascii="宋体" w:hAnsi="宋体" w:eastAsia="宋体" w:cs="宋体"/>
                <w:color w:val="000000"/>
                <w:kern w:val="0"/>
                <w:szCs w:val="21"/>
              </w:rPr>
              <w:t xml:space="preserve">ISO9001质量管理体系认证证书； </w:t>
            </w:r>
          </w:p>
          <w:p>
            <w:pPr>
              <w:numPr>
                <w:ilvl w:val="0"/>
                <w:numId w:val="19"/>
              </w:numPr>
              <w:snapToGrid w:val="0"/>
              <w:ind w:firstLine="446"/>
              <w:rPr>
                <w:rFonts w:ascii="宋体" w:hAnsi="宋体" w:eastAsia="宋体" w:cs="宋体"/>
                <w:color w:val="000000"/>
                <w:kern w:val="0"/>
                <w:szCs w:val="21"/>
              </w:rPr>
            </w:pPr>
            <w:r>
              <w:rPr>
                <w:rFonts w:hint="eastAsia" w:ascii="宋体" w:hAnsi="宋体" w:eastAsia="宋体" w:cs="宋体"/>
                <w:color w:val="000000"/>
                <w:kern w:val="0"/>
                <w:szCs w:val="21"/>
              </w:rPr>
              <w:t>ISO27001信息安全管理体系认证证书；</w:t>
            </w:r>
          </w:p>
          <w:p>
            <w:pPr>
              <w:numPr>
                <w:ilvl w:val="0"/>
                <w:numId w:val="19"/>
              </w:numPr>
              <w:snapToGrid w:val="0"/>
              <w:ind w:firstLine="446"/>
              <w:rPr>
                <w:rFonts w:ascii="宋体" w:hAnsi="宋体" w:eastAsia="宋体" w:cs="宋体"/>
                <w:color w:val="000000"/>
                <w:kern w:val="0"/>
                <w:szCs w:val="21"/>
              </w:rPr>
            </w:pPr>
            <w:r>
              <w:rPr>
                <w:rFonts w:hint="eastAsia" w:ascii="宋体" w:hAnsi="宋体" w:eastAsia="宋体" w:cs="宋体"/>
                <w:color w:val="000000"/>
                <w:kern w:val="0"/>
                <w:szCs w:val="21"/>
              </w:rPr>
              <w:t>CMMI软件成熟度认证证书（三级或以上）；</w:t>
            </w:r>
          </w:p>
          <w:p>
            <w:pPr>
              <w:numPr>
                <w:ilvl w:val="0"/>
                <w:numId w:val="19"/>
              </w:numPr>
              <w:snapToGrid w:val="0"/>
              <w:ind w:firstLine="446"/>
              <w:rPr>
                <w:rFonts w:ascii="宋体" w:hAnsi="宋体" w:eastAsia="宋体" w:cs="宋体"/>
                <w:color w:val="000000"/>
                <w:kern w:val="0"/>
                <w:szCs w:val="21"/>
              </w:rPr>
            </w:pPr>
            <w:r>
              <w:rPr>
                <w:rFonts w:hint="eastAsia" w:ascii="宋体" w:hAnsi="宋体" w:eastAsia="宋体" w:cs="宋体"/>
                <w:color w:val="000000"/>
                <w:kern w:val="0"/>
                <w:szCs w:val="21"/>
              </w:rPr>
              <w:t>AAA级企业信用等级证书；</w:t>
            </w:r>
          </w:p>
          <w:p>
            <w:pPr>
              <w:numPr>
                <w:ilvl w:val="0"/>
                <w:numId w:val="19"/>
              </w:numPr>
              <w:snapToGrid w:val="0"/>
              <w:ind w:firstLine="446"/>
              <w:rPr>
                <w:rFonts w:ascii="宋体" w:hAnsi="宋体" w:eastAsia="宋体" w:cs="宋体"/>
                <w:color w:val="000000"/>
                <w:kern w:val="0"/>
                <w:szCs w:val="21"/>
              </w:rPr>
            </w:pPr>
            <w:r>
              <w:rPr>
                <w:rFonts w:hint="eastAsia" w:ascii="宋体" w:hAnsi="宋体" w:eastAsia="宋体" w:cs="宋体"/>
                <w:color w:val="000000"/>
                <w:kern w:val="0"/>
                <w:szCs w:val="21"/>
              </w:rPr>
              <w:t>ISO14001环境管理体系认证证书；</w:t>
            </w:r>
          </w:p>
          <w:p>
            <w:pPr>
              <w:numPr>
                <w:ilvl w:val="0"/>
                <w:numId w:val="19"/>
              </w:numPr>
              <w:snapToGrid w:val="0"/>
              <w:ind w:firstLine="446"/>
              <w:rPr>
                <w:rFonts w:ascii="宋体" w:hAnsi="宋体" w:eastAsia="宋体" w:cs="宋体"/>
                <w:color w:val="000000"/>
                <w:kern w:val="0"/>
                <w:szCs w:val="21"/>
              </w:rPr>
            </w:pPr>
            <w:r>
              <w:rPr>
                <w:rFonts w:hint="eastAsia" w:ascii="宋体" w:hAnsi="宋体" w:eastAsia="宋体" w:cs="宋体"/>
                <w:color w:val="000000"/>
                <w:kern w:val="0"/>
                <w:szCs w:val="21"/>
              </w:rPr>
              <w:t>OHSAS18001职业健康安全管理体系认证证书；</w:t>
            </w:r>
          </w:p>
          <w:p>
            <w:pPr>
              <w:numPr>
                <w:ilvl w:val="0"/>
                <w:numId w:val="19"/>
              </w:numPr>
              <w:snapToGrid w:val="0"/>
              <w:ind w:firstLine="446"/>
              <w:rPr>
                <w:rFonts w:ascii="宋体" w:hAnsi="宋体" w:eastAsia="宋体" w:cs="宋体"/>
                <w:color w:val="000000"/>
                <w:kern w:val="0"/>
                <w:szCs w:val="21"/>
              </w:rPr>
            </w:pPr>
            <w:r>
              <w:rPr>
                <w:rFonts w:ascii="宋体" w:hAnsi="宋体" w:eastAsia="宋体" w:cs="宋体"/>
                <w:color w:val="000000"/>
                <w:kern w:val="0"/>
                <w:szCs w:val="21"/>
              </w:rPr>
              <w:t>信息系统集成及服务资质证书</w:t>
            </w:r>
            <w:r>
              <w:rPr>
                <w:rFonts w:hint="eastAsia" w:ascii="宋体" w:hAnsi="宋体" w:eastAsia="宋体" w:cs="宋体"/>
                <w:color w:val="000000"/>
                <w:kern w:val="0"/>
                <w:szCs w:val="21"/>
              </w:rPr>
              <w:t>（三级或以上）；</w:t>
            </w:r>
          </w:p>
          <w:p>
            <w:pPr>
              <w:numPr>
                <w:ilvl w:val="0"/>
                <w:numId w:val="19"/>
              </w:numPr>
              <w:snapToGrid w:val="0"/>
              <w:ind w:firstLine="446"/>
              <w:rPr>
                <w:rFonts w:ascii="宋体" w:hAnsi="宋体" w:eastAsia="宋体" w:cs="宋体"/>
                <w:color w:val="000000"/>
                <w:kern w:val="0"/>
                <w:szCs w:val="21"/>
              </w:rPr>
            </w:pPr>
            <w:r>
              <w:rPr>
                <w:rFonts w:ascii="宋体" w:hAnsi="宋体" w:eastAsia="宋体" w:cs="宋体"/>
                <w:color w:val="000000"/>
                <w:kern w:val="0"/>
                <w:szCs w:val="21"/>
              </w:rPr>
              <w:t>国家级高新技术认证；</w:t>
            </w:r>
          </w:p>
          <w:p>
            <w:pPr>
              <w:snapToGrid w:val="0"/>
              <w:ind w:firstLine="446"/>
              <w:rPr>
                <w:bCs/>
                <w:color w:val="000000"/>
              </w:rPr>
            </w:pPr>
            <w:r>
              <w:rPr>
                <w:rFonts w:hint="eastAsia" w:ascii="宋体" w:hAnsi="宋体" w:cs="宋体"/>
                <w:color w:val="000000"/>
                <w:kern w:val="0"/>
                <w:szCs w:val="21"/>
              </w:rPr>
              <w:t>全部提供满分7分，每少提供一个扣一分，扣完为止</w:t>
            </w:r>
            <w:r>
              <w:rPr>
                <w:rFonts w:hint="eastAsia" w:ascii="宋体" w:hAnsi="宋体" w:eastAsia="宋体" w:cs="宋体"/>
                <w:color w:val="000000"/>
                <w:kern w:val="0"/>
                <w:szCs w:val="21"/>
              </w:rPr>
              <w:t>。以上证书均需提供复印件并加盖投标单位公章，不提供或不符合要求的均不得分</w:t>
            </w:r>
          </w:p>
        </w:tc>
        <w:tc>
          <w:tcPr>
            <w:tcW w:w="691" w:type="dxa"/>
            <w:vAlign w:val="center"/>
          </w:tcPr>
          <w:p>
            <w:pPr>
              <w:widowControl/>
              <w:snapToGrid w:val="0"/>
              <w:jc w:val="center"/>
              <w:rPr>
                <w:rFonts w:eastAsia="等线"/>
                <w:color w:val="000000"/>
                <w:kern w:val="0"/>
                <w:szCs w:val="24"/>
              </w:rPr>
            </w:pPr>
            <w:r>
              <w:rPr>
                <w:rFonts w:hint="eastAsia"/>
                <w:color w:val="000000"/>
                <w:kern w:val="0"/>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784" w:type="dxa"/>
            <w:noWrap/>
            <w:vAlign w:val="center"/>
          </w:tcPr>
          <w:p>
            <w:pPr>
              <w:widowControl/>
              <w:snapToGrid w:val="0"/>
              <w:jc w:val="center"/>
              <w:rPr>
                <w:rFonts w:eastAsia="等线"/>
                <w:color w:val="000000"/>
                <w:kern w:val="0"/>
                <w:szCs w:val="24"/>
              </w:rPr>
            </w:pPr>
            <w:r>
              <w:rPr>
                <w:rFonts w:hint="eastAsia" w:eastAsia="等线"/>
                <w:color w:val="000000"/>
                <w:kern w:val="0"/>
                <w:szCs w:val="24"/>
              </w:rPr>
              <w:t>3</w:t>
            </w:r>
          </w:p>
        </w:tc>
        <w:tc>
          <w:tcPr>
            <w:tcW w:w="1309" w:type="dxa"/>
            <w:vAlign w:val="center"/>
          </w:tcPr>
          <w:p>
            <w:pPr>
              <w:widowControl/>
              <w:snapToGrid w:val="0"/>
              <w:jc w:val="center"/>
              <w:rPr>
                <w:color w:val="000000"/>
                <w:kern w:val="0"/>
                <w:szCs w:val="24"/>
              </w:rPr>
            </w:pPr>
            <w:r>
              <w:rPr>
                <w:rFonts w:hint="eastAsia"/>
                <w:color w:val="000000"/>
                <w:kern w:val="0"/>
                <w:szCs w:val="24"/>
              </w:rPr>
              <w:t>投标人业绩评价</w:t>
            </w:r>
          </w:p>
        </w:tc>
        <w:tc>
          <w:tcPr>
            <w:tcW w:w="5412" w:type="dxa"/>
            <w:vAlign w:val="center"/>
          </w:tcPr>
          <w:p>
            <w:pPr>
              <w:ind w:firstLine="446"/>
              <w:rPr>
                <w:rFonts w:ascii="宋体" w:hAnsi="宋体" w:cs="宋体"/>
                <w:color w:val="000000"/>
                <w:szCs w:val="24"/>
              </w:rPr>
            </w:pPr>
            <w:r>
              <w:rPr>
                <w:rFonts w:hint="eastAsia" w:ascii="宋体" w:hAnsi="宋体" w:cs="宋体"/>
                <w:color w:val="000000"/>
                <w:szCs w:val="24"/>
              </w:rPr>
              <w:t>投标人自2017年6月1日起实施完成的同类型</w:t>
            </w:r>
            <w:r>
              <w:rPr>
                <w:rFonts w:ascii="宋体" w:hAnsi="宋体" w:cs="宋体"/>
                <w:color w:val="000000"/>
                <w:szCs w:val="24"/>
              </w:rPr>
              <w:t>的</w:t>
            </w:r>
            <w:r>
              <w:rPr>
                <w:rFonts w:hint="eastAsia" w:ascii="宋体" w:hAnsi="宋体" w:cs="宋体"/>
                <w:color w:val="000000"/>
                <w:szCs w:val="24"/>
              </w:rPr>
              <w:t>成功案例，提供的证明材料均不得遮挡涂黑，否则不予认定加分。</w:t>
            </w:r>
          </w:p>
          <w:p>
            <w:pPr>
              <w:widowControl/>
              <w:ind w:firstLine="470" w:firstLineChars="196"/>
              <w:jc w:val="left"/>
              <w:rPr>
                <w:rFonts w:ascii="宋体" w:hAnsi="宋体" w:cs="宋体"/>
                <w:color w:val="000000"/>
                <w:szCs w:val="24"/>
              </w:rPr>
            </w:pPr>
            <w:r>
              <w:rPr>
                <w:rFonts w:hint="eastAsia" w:ascii="宋体" w:hAnsi="宋体" w:cs="宋体"/>
                <w:color w:val="000000"/>
                <w:szCs w:val="24"/>
              </w:rPr>
              <w:t>合同复印件：合同主体必须包含信息发布和排队叫号两项）。</w:t>
            </w:r>
          </w:p>
          <w:p>
            <w:pPr>
              <w:widowControl/>
              <w:snapToGrid w:val="0"/>
              <w:ind w:firstLine="446"/>
              <w:rPr>
                <w:color w:val="000000"/>
                <w:kern w:val="0"/>
                <w:szCs w:val="24"/>
              </w:rPr>
            </w:pPr>
            <w:r>
              <w:rPr>
                <w:rFonts w:hint="eastAsia" w:ascii="宋体" w:hAnsi="宋体" w:cs="宋体"/>
                <w:color w:val="000000"/>
                <w:szCs w:val="24"/>
              </w:rPr>
              <w:t>每提供1个业绩得2分，最多得6分。</w:t>
            </w:r>
          </w:p>
        </w:tc>
        <w:tc>
          <w:tcPr>
            <w:tcW w:w="691" w:type="dxa"/>
            <w:vAlign w:val="center"/>
          </w:tcPr>
          <w:p>
            <w:pPr>
              <w:widowControl/>
              <w:snapToGrid w:val="0"/>
              <w:jc w:val="center"/>
              <w:rPr>
                <w:color w:val="000000"/>
                <w:kern w:val="0"/>
                <w:szCs w:val="24"/>
              </w:rPr>
            </w:pPr>
            <w:r>
              <w:rPr>
                <w:rFonts w:hint="eastAsia"/>
                <w:color w:val="000000"/>
                <w:kern w:val="0"/>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pPr>
              <w:widowControl/>
              <w:snapToGrid w:val="0"/>
              <w:jc w:val="center"/>
              <w:rPr>
                <w:rFonts w:eastAsia="等线"/>
                <w:color w:val="000000"/>
                <w:kern w:val="0"/>
                <w:szCs w:val="24"/>
              </w:rPr>
            </w:pPr>
            <w:r>
              <w:rPr>
                <w:rFonts w:hint="eastAsia"/>
                <w:color w:val="000000"/>
                <w:kern w:val="0"/>
                <w:szCs w:val="24"/>
              </w:rPr>
              <w:t>4</w:t>
            </w:r>
          </w:p>
        </w:tc>
        <w:tc>
          <w:tcPr>
            <w:tcW w:w="1309" w:type="dxa"/>
            <w:vAlign w:val="center"/>
          </w:tcPr>
          <w:p>
            <w:pPr>
              <w:widowControl/>
              <w:snapToGrid w:val="0"/>
              <w:jc w:val="center"/>
              <w:rPr>
                <w:rFonts w:ascii="宋体" w:hAnsi="宋体"/>
                <w:color w:val="000000"/>
                <w:kern w:val="0"/>
                <w:szCs w:val="24"/>
                <w:highlight w:val="yellow"/>
              </w:rPr>
            </w:pPr>
            <w:r>
              <w:rPr>
                <w:rFonts w:hint="eastAsia"/>
                <w:color w:val="000000"/>
                <w:kern w:val="0"/>
                <w:szCs w:val="24"/>
              </w:rPr>
              <w:t>对招标文件技术规格要求的响应程度</w:t>
            </w:r>
          </w:p>
        </w:tc>
        <w:tc>
          <w:tcPr>
            <w:tcW w:w="5412" w:type="dxa"/>
            <w:vAlign w:val="center"/>
          </w:tcPr>
          <w:p>
            <w:pPr>
              <w:widowControl/>
              <w:ind w:firstLine="470" w:firstLineChars="196"/>
              <w:jc w:val="left"/>
              <w:rPr>
                <w:rFonts w:ascii="宋体" w:hAnsi="宋体" w:cs="宋体"/>
                <w:color w:val="000000"/>
                <w:szCs w:val="24"/>
              </w:rPr>
            </w:pPr>
            <w:r>
              <w:rPr>
                <w:rFonts w:hint="eastAsia" w:ascii="宋体" w:hAnsi="宋体" w:cs="宋体"/>
                <w:color w:val="000000"/>
                <w:szCs w:val="24"/>
              </w:rPr>
              <w:t>（1）投标人技术参数全部满足得满分18分。</w:t>
            </w:r>
          </w:p>
          <w:p>
            <w:pPr>
              <w:widowControl/>
              <w:ind w:firstLine="470" w:firstLineChars="196"/>
              <w:jc w:val="left"/>
              <w:rPr>
                <w:rFonts w:ascii="宋体" w:hAnsi="宋体" w:cs="宋体"/>
                <w:color w:val="000000"/>
                <w:szCs w:val="24"/>
              </w:rPr>
            </w:pPr>
            <w:r>
              <w:rPr>
                <w:rFonts w:hint="eastAsia" w:ascii="宋体" w:hAnsi="宋体" w:cs="宋体"/>
                <w:color w:val="000000"/>
                <w:szCs w:val="24"/>
              </w:rPr>
              <w:t>（2）对于标“★”号技术指标每一项指标负偏离扣3分。</w:t>
            </w:r>
          </w:p>
          <w:p>
            <w:pPr>
              <w:widowControl/>
              <w:ind w:firstLine="470" w:firstLineChars="196"/>
              <w:jc w:val="left"/>
              <w:rPr>
                <w:rFonts w:ascii="宋体" w:hAnsi="宋体" w:cs="宋体"/>
                <w:color w:val="000000"/>
                <w:szCs w:val="24"/>
              </w:rPr>
            </w:pPr>
            <w:r>
              <w:rPr>
                <w:rFonts w:hint="eastAsia" w:ascii="宋体" w:hAnsi="宋体" w:cs="宋体"/>
                <w:color w:val="000000"/>
                <w:szCs w:val="24"/>
              </w:rPr>
              <w:t>（3）一般普通技术指标每一项负偏离扣2分。</w:t>
            </w:r>
          </w:p>
          <w:p>
            <w:pPr>
              <w:widowControl/>
              <w:ind w:firstLine="470" w:firstLineChars="196"/>
              <w:jc w:val="left"/>
              <w:rPr>
                <w:rFonts w:ascii="宋体" w:hAnsi="宋体"/>
                <w:color w:val="000000"/>
                <w:kern w:val="0"/>
                <w:szCs w:val="24"/>
                <w:highlight w:val="yellow"/>
              </w:rPr>
            </w:pPr>
            <w:r>
              <w:rPr>
                <w:rFonts w:hint="eastAsia" w:ascii="宋体" w:hAnsi="宋体" w:cs="宋体"/>
                <w:color w:val="000000"/>
                <w:szCs w:val="24"/>
              </w:rPr>
              <w:t>（4）如偏离表存在技术指标缺漏项将按照负偏离处理，扣完为止。</w:t>
            </w:r>
          </w:p>
        </w:tc>
        <w:tc>
          <w:tcPr>
            <w:tcW w:w="691" w:type="dxa"/>
            <w:vAlign w:val="center"/>
          </w:tcPr>
          <w:p>
            <w:pPr>
              <w:widowControl/>
              <w:snapToGrid w:val="0"/>
              <w:jc w:val="center"/>
              <w:rPr>
                <w:color w:val="000000"/>
                <w:kern w:val="0"/>
                <w:szCs w:val="24"/>
                <w:highlight w:val="yellow"/>
              </w:rPr>
            </w:pPr>
            <w:r>
              <w:rPr>
                <w:rFonts w:hint="eastAsia"/>
                <w:color w:val="000000"/>
                <w:kern w:val="0"/>
                <w:szCs w:val="24"/>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pPr>
              <w:widowControl/>
              <w:snapToGrid w:val="0"/>
              <w:jc w:val="center"/>
              <w:rPr>
                <w:color w:val="000000"/>
                <w:kern w:val="0"/>
                <w:szCs w:val="24"/>
              </w:rPr>
            </w:pPr>
            <w:r>
              <w:rPr>
                <w:rFonts w:hint="eastAsia"/>
                <w:color w:val="000000"/>
                <w:kern w:val="0"/>
                <w:szCs w:val="24"/>
              </w:rPr>
              <w:t>5</w:t>
            </w:r>
          </w:p>
        </w:tc>
        <w:tc>
          <w:tcPr>
            <w:tcW w:w="1309" w:type="dxa"/>
            <w:vAlign w:val="center"/>
          </w:tcPr>
          <w:p>
            <w:pPr>
              <w:widowControl/>
              <w:snapToGrid w:val="0"/>
              <w:jc w:val="center"/>
              <w:rPr>
                <w:rFonts w:eastAsia="等线"/>
                <w:color w:val="000000"/>
                <w:kern w:val="0"/>
                <w:szCs w:val="24"/>
              </w:rPr>
            </w:pPr>
            <w:r>
              <w:rPr>
                <w:rFonts w:hint="eastAsia"/>
                <w:color w:val="000000"/>
                <w:kern w:val="0"/>
                <w:szCs w:val="24"/>
              </w:rPr>
              <w:t>投标配置要求</w:t>
            </w:r>
          </w:p>
        </w:tc>
        <w:tc>
          <w:tcPr>
            <w:tcW w:w="5412" w:type="dxa"/>
            <w:vAlign w:val="center"/>
          </w:tcPr>
          <w:p>
            <w:pPr>
              <w:widowControl/>
              <w:ind w:firstLine="470" w:firstLineChars="196"/>
              <w:jc w:val="left"/>
              <w:rPr>
                <w:rFonts w:ascii="宋体" w:hAnsi="宋体" w:cs="宋体"/>
                <w:color w:val="000000"/>
                <w:szCs w:val="24"/>
              </w:rPr>
            </w:pPr>
            <w:r>
              <w:rPr>
                <w:rFonts w:hint="eastAsia" w:ascii="宋体" w:hAnsi="宋体" w:cs="宋体"/>
                <w:color w:val="000000"/>
                <w:szCs w:val="24"/>
              </w:rPr>
              <w:t>投标人承诺提供无版权争议的健康宣教视频不得少于</w:t>
            </w:r>
            <w:r>
              <w:rPr>
                <w:rFonts w:ascii="宋体" w:hAnsi="宋体" w:cs="宋体"/>
                <w:color w:val="000000"/>
                <w:szCs w:val="24"/>
              </w:rPr>
              <w:t>500部；覆盖科室不得少于15个，同时投标人必须承诺每部宣教视频不少于3-5分钟，包含病症、病因、诊断等内容，</w:t>
            </w:r>
            <w:r>
              <w:rPr>
                <w:rFonts w:hint="eastAsia" w:ascii="宋体" w:hAnsi="宋体" w:cs="宋体"/>
                <w:color w:val="000000"/>
                <w:szCs w:val="24"/>
              </w:rPr>
              <w:t>需要提供视频样片、视频目录（500部以上），符合要求满分，</w:t>
            </w:r>
            <w:r>
              <w:rPr>
                <w:rFonts w:ascii="宋体" w:hAnsi="宋体" w:cs="宋体"/>
                <w:color w:val="000000"/>
                <w:szCs w:val="24"/>
              </w:rPr>
              <w:t>否则该项不得分。</w:t>
            </w:r>
          </w:p>
        </w:tc>
        <w:tc>
          <w:tcPr>
            <w:tcW w:w="691" w:type="dxa"/>
            <w:vAlign w:val="center"/>
          </w:tcPr>
          <w:p>
            <w:pPr>
              <w:widowControl/>
              <w:snapToGrid w:val="0"/>
              <w:jc w:val="center"/>
              <w:rPr>
                <w:color w:val="000000"/>
                <w:kern w:val="0"/>
                <w:szCs w:val="24"/>
              </w:rPr>
            </w:pPr>
            <w:r>
              <w:rPr>
                <w:rFonts w:hint="eastAsia"/>
                <w:color w:val="000000"/>
                <w:kern w:val="0"/>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pPr>
              <w:widowControl/>
              <w:snapToGrid w:val="0"/>
              <w:jc w:val="center"/>
              <w:rPr>
                <w:rFonts w:eastAsia="等线"/>
                <w:color w:val="000000"/>
                <w:kern w:val="0"/>
                <w:szCs w:val="24"/>
              </w:rPr>
            </w:pPr>
            <w:r>
              <w:rPr>
                <w:rFonts w:hint="eastAsia" w:eastAsia="等线"/>
                <w:color w:val="000000"/>
                <w:kern w:val="0"/>
                <w:szCs w:val="24"/>
              </w:rPr>
              <w:t>6</w:t>
            </w:r>
          </w:p>
        </w:tc>
        <w:tc>
          <w:tcPr>
            <w:tcW w:w="1309" w:type="dxa"/>
            <w:vAlign w:val="center"/>
          </w:tcPr>
          <w:p>
            <w:pPr>
              <w:widowControl/>
              <w:snapToGrid w:val="0"/>
              <w:jc w:val="center"/>
              <w:rPr>
                <w:color w:val="000000"/>
                <w:kern w:val="0"/>
                <w:szCs w:val="24"/>
              </w:rPr>
            </w:pPr>
            <w:r>
              <w:rPr>
                <w:rFonts w:hint="eastAsia"/>
                <w:color w:val="000000"/>
                <w:kern w:val="0"/>
                <w:szCs w:val="24"/>
              </w:rPr>
              <w:t>对招标文件中各科室业务理解</w:t>
            </w:r>
          </w:p>
        </w:tc>
        <w:tc>
          <w:tcPr>
            <w:tcW w:w="5412" w:type="dxa"/>
            <w:vAlign w:val="center"/>
          </w:tcPr>
          <w:p>
            <w:pPr>
              <w:ind w:firstLine="446"/>
              <w:rPr>
                <w:rFonts w:ascii="宋体" w:hAnsi="宋体" w:cs="宋体"/>
                <w:color w:val="000000"/>
                <w:szCs w:val="24"/>
              </w:rPr>
            </w:pPr>
            <w:r>
              <w:rPr>
                <w:rFonts w:hint="eastAsia" w:ascii="宋体" w:hAnsi="宋体" w:cs="宋体"/>
                <w:color w:val="000000"/>
                <w:szCs w:val="24"/>
              </w:rPr>
              <w:t>根据投标人对我院各科室科室业务流程及方案设计陈述的准确性和投标人对各科室叫号需求提出的解决方案、规划流程符合或优于本次招标要求的情况进行评分。优得4</w:t>
            </w:r>
            <w:r>
              <w:rPr>
                <w:rFonts w:ascii="宋体" w:hAnsi="宋体" w:cs="宋体"/>
                <w:color w:val="000000"/>
                <w:szCs w:val="24"/>
              </w:rPr>
              <w:t>分，符合得2分，差得0分。</w:t>
            </w:r>
          </w:p>
        </w:tc>
        <w:tc>
          <w:tcPr>
            <w:tcW w:w="691" w:type="dxa"/>
            <w:vAlign w:val="center"/>
          </w:tcPr>
          <w:p>
            <w:pPr>
              <w:widowControl/>
              <w:snapToGrid w:val="0"/>
              <w:jc w:val="center"/>
              <w:rPr>
                <w:color w:val="000000"/>
                <w:kern w:val="0"/>
                <w:szCs w:val="24"/>
              </w:rPr>
            </w:pPr>
            <w:r>
              <w:rPr>
                <w:rFonts w:hint="eastAsia"/>
                <w:color w:val="000000"/>
                <w:kern w:val="0"/>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pPr>
              <w:widowControl/>
              <w:snapToGrid w:val="0"/>
              <w:jc w:val="center"/>
              <w:rPr>
                <w:rFonts w:eastAsia="等线"/>
                <w:color w:val="000000"/>
                <w:kern w:val="0"/>
                <w:szCs w:val="24"/>
              </w:rPr>
            </w:pPr>
            <w:r>
              <w:rPr>
                <w:rFonts w:hint="eastAsia" w:eastAsia="等线"/>
                <w:color w:val="000000"/>
                <w:kern w:val="0"/>
                <w:szCs w:val="24"/>
              </w:rPr>
              <w:t>7</w:t>
            </w:r>
          </w:p>
        </w:tc>
        <w:tc>
          <w:tcPr>
            <w:tcW w:w="1309" w:type="dxa"/>
            <w:vAlign w:val="center"/>
          </w:tcPr>
          <w:p>
            <w:pPr>
              <w:widowControl/>
              <w:snapToGrid w:val="0"/>
              <w:rPr>
                <w:color w:val="000000"/>
                <w:kern w:val="0"/>
                <w:szCs w:val="24"/>
              </w:rPr>
            </w:pPr>
            <w:r>
              <w:rPr>
                <w:rFonts w:hint="eastAsia"/>
                <w:color w:val="000000"/>
                <w:kern w:val="0"/>
                <w:szCs w:val="24"/>
              </w:rPr>
              <w:t>产品技术方案</w:t>
            </w:r>
          </w:p>
        </w:tc>
        <w:tc>
          <w:tcPr>
            <w:tcW w:w="5412" w:type="dxa"/>
            <w:vAlign w:val="center"/>
          </w:tcPr>
          <w:p>
            <w:pPr>
              <w:ind w:firstLine="446"/>
              <w:rPr>
                <w:bCs/>
                <w:color w:val="000000"/>
                <w:kern w:val="0"/>
              </w:rPr>
            </w:pPr>
            <w:r>
              <w:rPr>
                <w:rFonts w:hint="eastAsia"/>
                <w:bCs/>
                <w:color w:val="000000"/>
                <w:kern w:val="0"/>
                <w:szCs w:val="24"/>
              </w:rPr>
              <w:t>针对各投标人所提供的产品（包含硬件设备及软件），</w:t>
            </w:r>
            <w:r>
              <w:rPr>
                <w:bCs/>
                <w:color w:val="000000"/>
                <w:kern w:val="0"/>
                <w:szCs w:val="24"/>
              </w:rPr>
              <w:t>根据其</w:t>
            </w:r>
            <w:r>
              <w:rPr>
                <w:rFonts w:hint="eastAsia"/>
                <w:bCs/>
                <w:color w:val="000000"/>
                <w:kern w:val="0"/>
                <w:szCs w:val="24"/>
              </w:rPr>
              <w:t>选型配置、技术成熟度等进行综合评价。</w:t>
            </w:r>
          </w:p>
          <w:p>
            <w:pPr>
              <w:ind w:firstLine="446"/>
              <w:rPr>
                <w:bCs/>
                <w:color w:val="000000"/>
                <w:kern w:val="0"/>
              </w:rPr>
            </w:pPr>
            <w:r>
              <w:rPr>
                <w:rFonts w:hint="eastAsia"/>
                <w:bCs/>
                <w:color w:val="000000"/>
                <w:kern w:val="0"/>
              </w:rPr>
              <w:t>配置先进，技术成熟度高，使用便捷，完全满足或优于项目需求：4分；</w:t>
            </w:r>
          </w:p>
          <w:p>
            <w:pPr>
              <w:ind w:firstLine="446"/>
              <w:rPr>
                <w:bCs/>
                <w:color w:val="000000"/>
                <w:kern w:val="0"/>
              </w:rPr>
            </w:pPr>
            <w:r>
              <w:rPr>
                <w:rFonts w:hint="eastAsia"/>
                <w:bCs/>
                <w:color w:val="000000"/>
                <w:kern w:val="0"/>
              </w:rPr>
              <w:t>配置良好，技术较成熟，能够满足项目需求：2分；</w:t>
            </w:r>
          </w:p>
          <w:p>
            <w:pPr>
              <w:ind w:firstLine="446"/>
              <w:rPr>
                <w:bCs/>
                <w:color w:val="000000"/>
                <w:kern w:val="0"/>
              </w:rPr>
            </w:pPr>
            <w:r>
              <w:rPr>
                <w:rFonts w:hint="eastAsia"/>
                <w:bCs/>
                <w:color w:val="000000"/>
                <w:kern w:val="0"/>
              </w:rPr>
              <w:t>配置一般，技术较成熟，基本能够满足项目需求：1分；</w:t>
            </w:r>
          </w:p>
          <w:p>
            <w:pPr>
              <w:ind w:firstLine="446"/>
              <w:rPr>
                <w:color w:val="000000"/>
                <w:kern w:val="0"/>
                <w:szCs w:val="24"/>
              </w:rPr>
            </w:pPr>
            <w:r>
              <w:rPr>
                <w:rFonts w:hint="eastAsia"/>
                <w:bCs/>
                <w:color w:val="000000"/>
                <w:kern w:val="0"/>
              </w:rPr>
              <w:t>配置较差或未提供相关介绍：0分</w:t>
            </w:r>
          </w:p>
        </w:tc>
        <w:tc>
          <w:tcPr>
            <w:tcW w:w="691" w:type="dxa"/>
            <w:vAlign w:val="center"/>
          </w:tcPr>
          <w:p>
            <w:pPr>
              <w:widowControl/>
              <w:snapToGrid w:val="0"/>
              <w:jc w:val="center"/>
              <w:rPr>
                <w:color w:val="000000"/>
                <w:kern w:val="0"/>
                <w:szCs w:val="24"/>
              </w:rPr>
            </w:pPr>
            <w:r>
              <w:rPr>
                <w:rFonts w:hint="eastAsia"/>
                <w:color w:val="000000"/>
                <w:kern w:val="0"/>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pPr>
              <w:widowControl/>
              <w:snapToGrid w:val="0"/>
              <w:jc w:val="center"/>
              <w:rPr>
                <w:rFonts w:eastAsia="等线"/>
                <w:color w:val="000000"/>
                <w:kern w:val="0"/>
                <w:szCs w:val="24"/>
              </w:rPr>
            </w:pPr>
            <w:r>
              <w:rPr>
                <w:rFonts w:eastAsia="等线"/>
                <w:color w:val="000000"/>
                <w:kern w:val="0"/>
                <w:szCs w:val="24"/>
              </w:rPr>
              <w:t>8</w:t>
            </w:r>
          </w:p>
        </w:tc>
        <w:tc>
          <w:tcPr>
            <w:tcW w:w="1309" w:type="dxa"/>
            <w:vAlign w:val="center"/>
          </w:tcPr>
          <w:p>
            <w:pPr>
              <w:rPr>
                <w:rFonts w:ascii="Calibri" w:hAnsi="Calibri"/>
                <w:color w:val="000000"/>
              </w:rPr>
            </w:pPr>
            <w:r>
              <w:rPr>
                <w:rFonts w:hint="eastAsia" w:ascii="Calibri" w:hAnsi="Calibri"/>
                <w:color w:val="000000"/>
              </w:rPr>
              <w:t>项目组织管理及进度安排评价</w:t>
            </w:r>
          </w:p>
        </w:tc>
        <w:tc>
          <w:tcPr>
            <w:tcW w:w="5412" w:type="dxa"/>
            <w:vAlign w:val="center"/>
          </w:tcPr>
          <w:p>
            <w:pPr>
              <w:ind w:firstLine="446"/>
              <w:rPr>
                <w:rFonts w:ascii="Calibri" w:hAnsi="Calibri"/>
                <w:color w:val="000000"/>
              </w:rPr>
            </w:pPr>
            <w:r>
              <w:rPr>
                <w:rFonts w:hint="eastAsia" w:ascii="Calibri" w:hAnsi="Calibri"/>
                <w:color w:val="000000"/>
              </w:rPr>
              <w:t>投标文件中提供的项目进度和质量保障方案应包括项目实施的组织管理、项目质量保障、应急处置、项目验收方案等。根据各投标人提供方案的详实程度、全面性、合理性、针对性、可行性以及是否符合项目需求等方面进行综合评价。</w:t>
            </w:r>
          </w:p>
          <w:p>
            <w:pPr>
              <w:ind w:firstLine="446"/>
              <w:rPr>
                <w:rFonts w:ascii="Calibri" w:hAnsi="Calibri"/>
                <w:color w:val="000000"/>
              </w:rPr>
            </w:pPr>
            <w:r>
              <w:rPr>
                <w:rFonts w:hint="eastAsia" w:ascii="Calibri" w:hAnsi="Calibri"/>
                <w:color w:val="000000"/>
              </w:rPr>
              <w:t>方案内容全面，合理、可行性高，针对性强，满足或优于项目需求：8分；</w:t>
            </w:r>
          </w:p>
          <w:p>
            <w:pPr>
              <w:ind w:firstLine="446"/>
              <w:rPr>
                <w:rFonts w:ascii="Calibri" w:hAnsi="Calibri"/>
                <w:color w:val="000000"/>
              </w:rPr>
            </w:pPr>
            <w:r>
              <w:rPr>
                <w:rFonts w:hint="eastAsia" w:ascii="Calibri" w:hAnsi="Calibri"/>
                <w:color w:val="000000"/>
              </w:rPr>
              <w:t>方案内容较全面，合理、可行性高，有针对性，满足本项目需求：4分；</w:t>
            </w:r>
          </w:p>
          <w:p>
            <w:pPr>
              <w:ind w:firstLine="446"/>
              <w:rPr>
                <w:rFonts w:ascii="Calibri" w:hAnsi="Calibri"/>
                <w:color w:val="000000"/>
              </w:rPr>
            </w:pPr>
            <w:r>
              <w:rPr>
                <w:rFonts w:hint="eastAsia" w:ascii="Calibri" w:hAnsi="Calibri"/>
                <w:color w:val="000000"/>
              </w:rPr>
              <w:t>方案内容一般，合理、可行性，基本满足项目需求：2分；</w:t>
            </w:r>
          </w:p>
          <w:p>
            <w:pPr>
              <w:ind w:firstLine="446"/>
              <w:rPr>
                <w:rFonts w:ascii="Calibri" w:hAnsi="Calibri"/>
                <w:color w:val="000000"/>
              </w:rPr>
            </w:pPr>
            <w:r>
              <w:rPr>
                <w:rFonts w:hint="eastAsia" w:ascii="Calibri" w:hAnsi="Calibri"/>
                <w:color w:val="000000"/>
              </w:rPr>
              <w:t>方案有缺项或未提供该部分描述：0分。</w:t>
            </w:r>
          </w:p>
        </w:tc>
        <w:tc>
          <w:tcPr>
            <w:tcW w:w="691" w:type="dxa"/>
            <w:vAlign w:val="center"/>
          </w:tcPr>
          <w:p>
            <w:pPr>
              <w:snapToGrid w:val="0"/>
              <w:rPr>
                <w:rFonts w:ascii="宋体" w:hAnsi="宋体" w:cs="宋体"/>
                <w:color w:val="000000"/>
                <w:szCs w:val="24"/>
              </w:rPr>
            </w:pPr>
            <w:r>
              <w:rPr>
                <w:rFonts w:hint="eastAsia" w:ascii="宋体" w:hAnsi="宋体" w:cs="宋体"/>
                <w:color w:val="000000"/>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pPr>
              <w:widowControl/>
              <w:snapToGrid w:val="0"/>
              <w:jc w:val="center"/>
              <w:rPr>
                <w:rFonts w:eastAsia="等线"/>
                <w:color w:val="000000"/>
                <w:kern w:val="0"/>
                <w:szCs w:val="24"/>
              </w:rPr>
            </w:pPr>
            <w:r>
              <w:rPr>
                <w:rFonts w:eastAsia="等线"/>
                <w:color w:val="000000"/>
                <w:kern w:val="0"/>
                <w:szCs w:val="24"/>
              </w:rPr>
              <w:t>9</w:t>
            </w:r>
          </w:p>
        </w:tc>
        <w:tc>
          <w:tcPr>
            <w:tcW w:w="1309" w:type="dxa"/>
            <w:vAlign w:val="center"/>
          </w:tcPr>
          <w:p>
            <w:pPr>
              <w:jc w:val="center"/>
              <w:rPr>
                <w:rFonts w:ascii="Calibri" w:hAnsi="Calibri"/>
                <w:color w:val="000000"/>
              </w:rPr>
            </w:pPr>
            <w:r>
              <w:rPr>
                <w:rFonts w:hint="eastAsia" w:ascii="Calibri" w:hAnsi="Calibri"/>
                <w:color w:val="000000"/>
              </w:rPr>
              <w:t>培训方案评价</w:t>
            </w:r>
          </w:p>
        </w:tc>
        <w:tc>
          <w:tcPr>
            <w:tcW w:w="5412" w:type="dxa"/>
            <w:vAlign w:val="center"/>
          </w:tcPr>
          <w:p>
            <w:pPr>
              <w:ind w:firstLine="446"/>
              <w:rPr>
                <w:rFonts w:ascii="Calibri" w:hAnsi="Calibri"/>
                <w:color w:val="000000"/>
              </w:rPr>
            </w:pPr>
            <w:r>
              <w:rPr>
                <w:rFonts w:hint="eastAsia" w:ascii="Calibri" w:hAnsi="Calibri"/>
                <w:color w:val="000000"/>
              </w:rPr>
              <w:t>投标文件中须提供详实、合理的培训方案，方案内容应包括但不限于培训目的、培训对象和范围、培训时间安排、培训课程、培训师资情况、培训组织方式及预期效果等。根据各投标人提供的培训方案的全面性、合理性、可行性及有效性等方面进行综合评价。</w:t>
            </w:r>
          </w:p>
          <w:p>
            <w:pPr>
              <w:ind w:firstLine="446"/>
              <w:rPr>
                <w:rFonts w:ascii="Calibri" w:hAnsi="Calibri"/>
                <w:color w:val="000000"/>
              </w:rPr>
            </w:pPr>
            <w:r>
              <w:rPr>
                <w:rFonts w:hint="eastAsia" w:ascii="Calibri" w:hAnsi="Calibri"/>
                <w:color w:val="000000"/>
              </w:rPr>
              <w:t>方案内容全面，合理、可行性高，针对性强，满足或优于本项目需求：4分；</w:t>
            </w:r>
          </w:p>
          <w:p>
            <w:pPr>
              <w:ind w:firstLine="446"/>
              <w:rPr>
                <w:rFonts w:ascii="Calibri" w:hAnsi="Calibri"/>
                <w:color w:val="000000"/>
              </w:rPr>
            </w:pPr>
            <w:r>
              <w:rPr>
                <w:rFonts w:hint="eastAsia" w:ascii="Calibri" w:hAnsi="Calibri"/>
                <w:color w:val="000000"/>
              </w:rPr>
              <w:t>方案内容全面，合理、可行性较高，有针对性，基本满足本项目需求：2分；</w:t>
            </w:r>
          </w:p>
          <w:p>
            <w:pPr>
              <w:ind w:firstLine="446"/>
              <w:rPr>
                <w:rFonts w:ascii="Calibri" w:hAnsi="Calibri"/>
                <w:color w:val="000000"/>
              </w:rPr>
            </w:pPr>
            <w:r>
              <w:rPr>
                <w:rFonts w:hint="eastAsia" w:ascii="Calibri" w:hAnsi="Calibri"/>
                <w:color w:val="000000"/>
              </w:rPr>
              <w:t>方案内容较全，合理、可行性，基本满足本项目需求：1分；</w:t>
            </w:r>
          </w:p>
          <w:p>
            <w:pPr>
              <w:ind w:firstLine="446"/>
              <w:rPr>
                <w:rFonts w:ascii="Calibri" w:hAnsi="Calibri"/>
                <w:color w:val="000000"/>
              </w:rPr>
            </w:pPr>
            <w:r>
              <w:rPr>
                <w:rFonts w:hint="eastAsia" w:ascii="Calibri" w:hAnsi="Calibri"/>
                <w:color w:val="000000"/>
              </w:rPr>
              <w:t>方案有缺项或未提供该部分描述：0分。</w:t>
            </w:r>
          </w:p>
        </w:tc>
        <w:tc>
          <w:tcPr>
            <w:tcW w:w="691" w:type="dxa"/>
            <w:vAlign w:val="center"/>
          </w:tcPr>
          <w:p>
            <w:pPr>
              <w:widowControl/>
              <w:snapToGrid w:val="0"/>
              <w:jc w:val="center"/>
              <w:rPr>
                <w:color w:val="000000"/>
                <w:kern w:val="0"/>
                <w:szCs w:val="24"/>
              </w:rPr>
            </w:pPr>
            <w:r>
              <w:rPr>
                <w:rFonts w:hint="eastAsia"/>
                <w:color w:val="000000"/>
                <w:kern w:val="0"/>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pPr>
              <w:widowControl/>
              <w:snapToGrid w:val="0"/>
              <w:jc w:val="center"/>
              <w:rPr>
                <w:rFonts w:eastAsia="等线"/>
                <w:color w:val="000000"/>
                <w:kern w:val="0"/>
                <w:szCs w:val="24"/>
              </w:rPr>
            </w:pPr>
            <w:r>
              <w:rPr>
                <w:rFonts w:hint="eastAsia"/>
                <w:color w:val="000000"/>
                <w:kern w:val="0"/>
                <w:szCs w:val="24"/>
              </w:rPr>
              <w:t>1</w:t>
            </w:r>
            <w:r>
              <w:rPr>
                <w:color w:val="000000"/>
                <w:kern w:val="0"/>
                <w:szCs w:val="24"/>
              </w:rPr>
              <w:t>0</w:t>
            </w:r>
          </w:p>
        </w:tc>
        <w:tc>
          <w:tcPr>
            <w:tcW w:w="1309" w:type="dxa"/>
            <w:vAlign w:val="center"/>
          </w:tcPr>
          <w:p>
            <w:pPr>
              <w:jc w:val="center"/>
              <w:rPr>
                <w:rFonts w:ascii="Calibri" w:hAnsi="Calibri"/>
                <w:color w:val="000000"/>
              </w:rPr>
            </w:pPr>
            <w:r>
              <w:rPr>
                <w:rFonts w:hint="eastAsia" w:ascii="Calibri" w:hAnsi="Calibri"/>
                <w:color w:val="000000"/>
              </w:rPr>
              <w:t>售后服务方案评价</w:t>
            </w:r>
          </w:p>
        </w:tc>
        <w:tc>
          <w:tcPr>
            <w:tcW w:w="5412" w:type="dxa"/>
            <w:vAlign w:val="center"/>
          </w:tcPr>
          <w:p>
            <w:pPr>
              <w:widowControl/>
              <w:ind w:firstLine="446"/>
              <w:rPr>
                <w:color w:val="000000"/>
              </w:rPr>
            </w:pPr>
            <w:r>
              <w:rPr>
                <w:rFonts w:hint="eastAsia"/>
                <w:color w:val="000000"/>
              </w:rPr>
              <w:t>投标人具备完备的服务体系，售后服务文档完整，满足采购人的各项维护时限要求，后期服务针对本项目有专项售后小组、人员和队伍，突发状况应对预案合理：4分</w:t>
            </w:r>
          </w:p>
          <w:p>
            <w:pPr>
              <w:widowControl/>
              <w:ind w:firstLine="446"/>
              <w:rPr>
                <w:color w:val="000000"/>
              </w:rPr>
            </w:pPr>
            <w:r>
              <w:rPr>
                <w:rFonts w:hint="eastAsia"/>
                <w:color w:val="000000"/>
              </w:rPr>
              <w:t>投标人具备完备的服务系统，售后服务文档较完整，满足采购人的各项维护时限要求，后期服务组织针对性一般，突发状况应对预案较合理：2分</w:t>
            </w:r>
          </w:p>
          <w:p>
            <w:pPr>
              <w:widowControl/>
              <w:ind w:firstLine="446"/>
              <w:rPr>
                <w:color w:val="000000"/>
              </w:rPr>
            </w:pPr>
            <w:r>
              <w:rPr>
                <w:rFonts w:hint="eastAsia"/>
                <w:color w:val="000000"/>
              </w:rPr>
              <w:t>投标人具备服务体系，满足采购人的各项维护时限要求，后期服务组织无针对性，突发状况应对预案基本合理：1分</w:t>
            </w:r>
          </w:p>
          <w:p>
            <w:pPr>
              <w:ind w:firstLine="446"/>
              <w:rPr>
                <w:rFonts w:ascii="Calibri" w:hAnsi="Calibri"/>
                <w:color w:val="000000"/>
              </w:rPr>
            </w:pPr>
            <w:r>
              <w:rPr>
                <w:rFonts w:hint="eastAsia"/>
                <w:color w:val="000000"/>
              </w:rPr>
              <w:t>投标人无售后服务体系，不能满足维护实现要求，无突发状况应对预案或未提供售后服务方案：0分</w:t>
            </w:r>
          </w:p>
        </w:tc>
        <w:tc>
          <w:tcPr>
            <w:tcW w:w="691" w:type="dxa"/>
            <w:vAlign w:val="center"/>
          </w:tcPr>
          <w:p>
            <w:pPr>
              <w:widowControl/>
              <w:snapToGrid w:val="0"/>
              <w:jc w:val="center"/>
              <w:rPr>
                <w:color w:val="000000"/>
                <w:kern w:val="0"/>
                <w:szCs w:val="24"/>
              </w:rPr>
            </w:pPr>
            <w:r>
              <w:rPr>
                <w:rFonts w:hint="eastAsia"/>
                <w:color w:val="000000"/>
                <w:kern w:val="0"/>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5" w:type="dxa"/>
            <w:gridSpan w:val="3"/>
            <w:noWrap/>
            <w:vAlign w:val="center"/>
          </w:tcPr>
          <w:p>
            <w:pPr>
              <w:ind w:firstLine="446"/>
              <w:rPr>
                <w:rFonts w:ascii="宋体" w:hAnsi="宋体" w:cs="宋体"/>
                <w:color w:val="000000"/>
                <w:szCs w:val="24"/>
              </w:rPr>
            </w:pPr>
            <w:r>
              <w:rPr>
                <w:rFonts w:hint="eastAsia" w:ascii="宋体" w:hAnsi="宋体" w:cs="宋体"/>
                <w:color w:val="000000"/>
                <w:szCs w:val="24"/>
              </w:rPr>
              <w:t>合计</w:t>
            </w:r>
          </w:p>
        </w:tc>
        <w:tc>
          <w:tcPr>
            <w:tcW w:w="691" w:type="dxa"/>
            <w:vAlign w:val="center"/>
          </w:tcPr>
          <w:p>
            <w:pPr>
              <w:rPr>
                <w:rFonts w:ascii="宋体" w:hAnsi="宋体" w:cs="宋体"/>
                <w:color w:val="000000"/>
                <w:kern w:val="0"/>
                <w:szCs w:val="24"/>
              </w:rPr>
            </w:pPr>
            <w:r>
              <w:rPr>
                <w:rFonts w:hint="eastAsia" w:ascii="宋体" w:hAnsi="宋体" w:cs="宋体"/>
                <w:color w:val="000000"/>
                <w:kern w:val="0"/>
                <w:szCs w:val="24"/>
              </w:rPr>
              <w:t>100分</w:t>
            </w:r>
          </w:p>
        </w:tc>
      </w:tr>
    </w:tbl>
    <w:p/>
    <w:sectPr>
      <w:footerReference r:id="rId4" w:type="default"/>
      <w:pgSz w:w="11906" w:h="16838"/>
      <w:pgMar w:top="1440" w:right="1803" w:bottom="1440" w:left="1803" w:header="851" w:footer="992" w:gutter="0"/>
      <w:pgNumType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307859"/>
    </w:sdtPr>
    <w:sdtContent>
      <w:p>
        <w:pPr>
          <w:pStyle w:val="16"/>
          <w:spacing w:line="360" w:lineRule="auto"/>
          <w:jc w:val="center"/>
        </w:pPr>
        <w:r>
          <w:fldChar w:fldCharType="begin"/>
        </w:r>
        <w:r>
          <w:instrText xml:space="preserve">PAGE   \* MERGEFORMAT</w:instrText>
        </w:r>
        <w:r>
          <w:fldChar w:fldCharType="separate"/>
        </w:r>
        <w:r>
          <w:rPr>
            <w:lang w:val="zh-CN"/>
          </w:rPr>
          <w:t>III</w:t>
        </w:r>
        <w:r>
          <w:rPr>
            <w:lang w:val="zh-CN"/>
          </w:rPr>
          <w:fldChar w:fldCharType="end"/>
        </w:r>
      </w:p>
    </w:sdtContent>
  </w:sdt>
  <w:p>
    <w:pPr>
      <w:pStyle w:val="16"/>
      <w:spacing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776777"/>
    </w:sdtPr>
    <w:sdtContent>
      <w:p>
        <w:pPr>
          <w:pStyle w:val="16"/>
          <w:spacing w:line="360" w:lineRule="auto"/>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16"/>
      <w:spacing w:line="360" w:lineRule="auto"/>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C3ABE3"/>
    <w:multiLevelType w:val="singleLevel"/>
    <w:tmpl w:val="FBC3ABE3"/>
    <w:lvl w:ilvl="0" w:tentative="0">
      <w:start w:val="1"/>
      <w:numFmt w:val="decimal"/>
      <w:suff w:val="nothing"/>
      <w:lvlText w:val="%1、"/>
      <w:lvlJc w:val="left"/>
    </w:lvl>
  </w:abstractNum>
  <w:abstractNum w:abstractNumId="1">
    <w:nsid w:val="0B322813"/>
    <w:multiLevelType w:val="multilevel"/>
    <w:tmpl w:val="0B32281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E76FF2"/>
    <w:multiLevelType w:val="multilevel"/>
    <w:tmpl w:val="11E76FF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FE6245"/>
    <w:multiLevelType w:val="multilevel"/>
    <w:tmpl w:val="11FE6245"/>
    <w:lvl w:ilvl="0" w:tentative="0">
      <w:start w:val="1"/>
      <w:numFmt w:val="decimal"/>
      <w:pStyle w:val="2"/>
      <w:lvlText w:val="%1"/>
      <w:lvlJc w:val="left"/>
      <w:pPr>
        <w:ind w:left="432" w:hanging="432"/>
      </w:pPr>
      <w:rPr>
        <w:rFonts w:asciiTheme="majorEastAsia" w:hAnsiTheme="majorEastAsia" w:eastAsiaTheme="majorEastAsia"/>
      </w:rPr>
    </w:lvl>
    <w:lvl w:ilvl="1" w:tentative="0">
      <w:start w:val="1"/>
      <w:numFmt w:val="decimal"/>
      <w:pStyle w:val="5"/>
      <w:lvlText w:val="%1.%2"/>
      <w:lvlJc w:val="left"/>
      <w:pPr>
        <w:ind w:left="718" w:hanging="576"/>
      </w:pPr>
      <w:rPr>
        <w:color w:val="000000" w:themeColor="text1"/>
        <w14:textFill>
          <w14:solidFill>
            <w14:schemeClr w14:val="tx1"/>
          </w14:solidFill>
        </w14:textFill>
      </w:rPr>
    </w:lvl>
    <w:lvl w:ilvl="2" w:tentative="0">
      <w:start w:val="1"/>
      <w:numFmt w:val="decimal"/>
      <w:pStyle w:val="6"/>
      <w:lvlText w:val="%1.%2.%3"/>
      <w:lvlJc w:val="left"/>
      <w:pPr>
        <w:ind w:left="720" w:hanging="720"/>
      </w:pPr>
      <w:rPr>
        <w:color w:val="000000" w:themeColor="text1"/>
        <w14:textFill>
          <w14:solidFill>
            <w14:schemeClr w14:val="tx1"/>
          </w14:solidFill>
        </w14:textFill>
      </w:rPr>
    </w:lvl>
    <w:lvl w:ilvl="3" w:tentative="0">
      <w:start w:val="1"/>
      <w:numFmt w:val="decimal"/>
      <w:pStyle w:val="7"/>
      <w:lvlText w:val="%1.%2.%3.%4"/>
      <w:lvlJc w:val="left"/>
      <w:pPr>
        <w:ind w:left="864" w:hanging="864"/>
      </w:pPr>
      <w:rPr>
        <w:sz w:val="28"/>
        <w:szCs w:val="28"/>
      </w:rPr>
    </w:lvl>
    <w:lvl w:ilvl="4" w:tentative="0">
      <w:start w:val="1"/>
      <w:numFmt w:val="decimal"/>
      <w:pStyle w:val="8"/>
      <w:lvlText w:val="%1.%2.%3.%4.%5"/>
      <w:lvlJc w:val="left"/>
      <w:pPr>
        <w:ind w:left="1008" w:hanging="1008"/>
      </w:pPr>
      <w:rPr>
        <w:b w:val="0"/>
        <w:bCs w:val="0"/>
        <w:i w:val="0"/>
        <w:iCs w:val="0"/>
        <w:caps w:val="0"/>
        <w:smallCaps w:val="0"/>
        <w:strike w:val="0"/>
        <w:dstrike w:val="0"/>
        <w:vanish w:val="0"/>
        <w:spacing w:val="0"/>
        <w:position w:val="0"/>
        <w:u w:val="none"/>
        <w:vertAlign w:val="baseline"/>
      </w:rPr>
    </w:lvl>
    <w:lvl w:ilvl="5" w:tentative="0">
      <w:start w:val="1"/>
      <w:numFmt w:val="decimal"/>
      <w:pStyle w:val="9"/>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124B7A61"/>
    <w:multiLevelType w:val="multilevel"/>
    <w:tmpl w:val="124B7A6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F58DC"/>
    <w:multiLevelType w:val="multilevel"/>
    <w:tmpl w:val="170F58D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80116D8"/>
    <w:multiLevelType w:val="multilevel"/>
    <w:tmpl w:val="180116D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B07231D"/>
    <w:multiLevelType w:val="multilevel"/>
    <w:tmpl w:val="1B0723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AE0669"/>
    <w:multiLevelType w:val="multilevel"/>
    <w:tmpl w:val="2AAE066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3163CD"/>
    <w:multiLevelType w:val="multilevel"/>
    <w:tmpl w:val="2D3163C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1042F63"/>
    <w:multiLevelType w:val="multilevel"/>
    <w:tmpl w:val="31042F63"/>
    <w:lvl w:ilvl="0" w:tentative="0">
      <w:start w:val="1"/>
      <w:numFmt w:val="decimal"/>
      <w:lvlText w:val="%1)"/>
      <w:lvlJc w:val="left"/>
      <w:pPr>
        <w:ind w:left="480" w:hanging="48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C0445C"/>
    <w:multiLevelType w:val="multilevel"/>
    <w:tmpl w:val="40C0445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1A643F8"/>
    <w:multiLevelType w:val="multilevel"/>
    <w:tmpl w:val="41A643F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Arial" w:hAnsi="Arial" w:cs="Arial"/>
        <w:sz w:val="32"/>
        <w:szCs w:val="32"/>
        <w:lang w:val="zh-CN"/>
      </w:rPr>
    </w:lvl>
    <w:lvl w:ilvl="2" w:tentative="0">
      <w:start w:val="1"/>
      <w:numFmt w:val="decimal"/>
      <w:lvlText w:val="%1.%2.%3"/>
      <w:lvlJc w:val="left"/>
      <w:pPr>
        <w:ind w:left="1276" w:hanging="567"/>
      </w:pPr>
      <w:rPr>
        <w:rFonts w:hint="eastAsia" w:cs="Times New Roman"/>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ind w:left="1984" w:hanging="708"/>
      </w:pPr>
      <w:rPr>
        <w:rFonts w:hint="default" w:ascii="Cambria" w:hAnsi="Cambria"/>
        <w:b/>
        <w:sz w:val="28"/>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8144D00"/>
    <w:multiLevelType w:val="multilevel"/>
    <w:tmpl w:val="58144D0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27E45EE"/>
    <w:multiLevelType w:val="multilevel"/>
    <w:tmpl w:val="627E45E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8A54A1F"/>
    <w:multiLevelType w:val="multilevel"/>
    <w:tmpl w:val="68A54A1F"/>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6">
    <w:nsid w:val="6D006AFF"/>
    <w:multiLevelType w:val="multilevel"/>
    <w:tmpl w:val="6D006AFF"/>
    <w:lvl w:ilvl="0" w:tentative="0">
      <w:start w:val="1"/>
      <w:numFmt w:val="decimal"/>
      <w:lvlText w:val="%1)"/>
      <w:lvlJc w:val="left"/>
      <w:pPr>
        <w:tabs>
          <w:tab w:val="left" w:pos="1270"/>
        </w:tabs>
        <w:ind w:left="1270" w:hanging="420"/>
      </w:pPr>
    </w:lvl>
    <w:lvl w:ilvl="1" w:tentative="0">
      <w:start w:val="1"/>
      <w:numFmt w:val="lowerLetter"/>
      <w:lvlText w:val="%2)"/>
      <w:lvlJc w:val="left"/>
      <w:pPr>
        <w:tabs>
          <w:tab w:val="left" w:pos="272"/>
        </w:tabs>
        <w:ind w:left="272" w:hanging="420"/>
      </w:pPr>
    </w:lvl>
    <w:lvl w:ilvl="2" w:tentative="0">
      <w:start w:val="1"/>
      <w:numFmt w:val="lowerRoman"/>
      <w:lvlText w:val="%3."/>
      <w:lvlJc w:val="right"/>
      <w:pPr>
        <w:tabs>
          <w:tab w:val="left" w:pos="692"/>
        </w:tabs>
        <w:ind w:left="692" w:hanging="420"/>
      </w:pPr>
    </w:lvl>
    <w:lvl w:ilvl="3" w:tentative="0">
      <w:start w:val="1"/>
      <w:numFmt w:val="decimal"/>
      <w:lvlText w:val="%4."/>
      <w:lvlJc w:val="left"/>
      <w:pPr>
        <w:tabs>
          <w:tab w:val="left" w:pos="1112"/>
        </w:tabs>
        <w:ind w:left="1112" w:hanging="420"/>
      </w:pPr>
    </w:lvl>
    <w:lvl w:ilvl="4" w:tentative="0">
      <w:start w:val="1"/>
      <w:numFmt w:val="lowerLetter"/>
      <w:lvlText w:val="%5)"/>
      <w:lvlJc w:val="left"/>
      <w:pPr>
        <w:tabs>
          <w:tab w:val="left" w:pos="1532"/>
        </w:tabs>
        <w:ind w:left="1532" w:hanging="420"/>
      </w:pPr>
    </w:lvl>
    <w:lvl w:ilvl="5" w:tentative="0">
      <w:start w:val="1"/>
      <w:numFmt w:val="lowerRoman"/>
      <w:lvlText w:val="%6."/>
      <w:lvlJc w:val="right"/>
      <w:pPr>
        <w:tabs>
          <w:tab w:val="left" w:pos="1952"/>
        </w:tabs>
        <w:ind w:left="1952" w:hanging="420"/>
      </w:pPr>
    </w:lvl>
    <w:lvl w:ilvl="6" w:tentative="0">
      <w:start w:val="1"/>
      <w:numFmt w:val="decimal"/>
      <w:lvlText w:val="%7."/>
      <w:lvlJc w:val="left"/>
      <w:pPr>
        <w:tabs>
          <w:tab w:val="left" w:pos="2372"/>
        </w:tabs>
        <w:ind w:left="2372" w:hanging="420"/>
      </w:pPr>
    </w:lvl>
    <w:lvl w:ilvl="7" w:tentative="0">
      <w:start w:val="1"/>
      <w:numFmt w:val="lowerLetter"/>
      <w:lvlText w:val="%8)"/>
      <w:lvlJc w:val="left"/>
      <w:pPr>
        <w:tabs>
          <w:tab w:val="left" w:pos="2792"/>
        </w:tabs>
        <w:ind w:left="2792" w:hanging="420"/>
      </w:pPr>
    </w:lvl>
    <w:lvl w:ilvl="8" w:tentative="0">
      <w:start w:val="1"/>
      <w:numFmt w:val="lowerRoman"/>
      <w:lvlText w:val="%9."/>
      <w:lvlJc w:val="right"/>
      <w:pPr>
        <w:tabs>
          <w:tab w:val="left" w:pos="3212"/>
        </w:tabs>
        <w:ind w:left="3212" w:hanging="420"/>
      </w:pPr>
    </w:lvl>
  </w:abstractNum>
  <w:abstractNum w:abstractNumId="17">
    <w:nsid w:val="78CE4207"/>
    <w:multiLevelType w:val="multilevel"/>
    <w:tmpl w:val="78CE4207"/>
    <w:lvl w:ilvl="0" w:tentative="0">
      <w:start w:val="1"/>
      <w:numFmt w:val="decimal"/>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8">
    <w:nsid w:val="7CBE5CEC"/>
    <w:multiLevelType w:val="multilevel"/>
    <w:tmpl w:val="7CBE5CEC"/>
    <w:lvl w:ilvl="0" w:tentative="0">
      <w:start w:val="1"/>
      <w:numFmt w:val="decimal"/>
      <w:lvlText w:val="%1)"/>
      <w:lvlJc w:val="left"/>
      <w:pPr>
        <w:tabs>
          <w:tab w:val="left" w:pos="1838"/>
        </w:tabs>
        <w:ind w:left="1838" w:hanging="420"/>
      </w:pPr>
    </w:lvl>
    <w:lvl w:ilvl="1" w:tentative="0">
      <w:start w:val="1"/>
      <w:numFmt w:val="lowerLetter"/>
      <w:lvlText w:val="%2)"/>
      <w:lvlJc w:val="left"/>
      <w:pPr>
        <w:tabs>
          <w:tab w:val="left" w:pos="2258"/>
        </w:tabs>
        <w:ind w:left="2258" w:hanging="420"/>
      </w:pPr>
    </w:lvl>
    <w:lvl w:ilvl="2" w:tentative="0">
      <w:start w:val="1"/>
      <w:numFmt w:val="lowerRoman"/>
      <w:lvlText w:val="%3."/>
      <w:lvlJc w:val="right"/>
      <w:pPr>
        <w:tabs>
          <w:tab w:val="left" w:pos="2678"/>
        </w:tabs>
        <w:ind w:left="2678" w:hanging="420"/>
      </w:pPr>
    </w:lvl>
    <w:lvl w:ilvl="3" w:tentative="0">
      <w:start w:val="1"/>
      <w:numFmt w:val="decimal"/>
      <w:lvlText w:val="%4."/>
      <w:lvlJc w:val="left"/>
      <w:pPr>
        <w:tabs>
          <w:tab w:val="left" w:pos="3098"/>
        </w:tabs>
        <w:ind w:left="3098" w:hanging="420"/>
      </w:pPr>
    </w:lvl>
    <w:lvl w:ilvl="4" w:tentative="0">
      <w:start w:val="1"/>
      <w:numFmt w:val="lowerLetter"/>
      <w:lvlText w:val="%5)"/>
      <w:lvlJc w:val="left"/>
      <w:pPr>
        <w:tabs>
          <w:tab w:val="left" w:pos="3518"/>
        </w:tabs>
        <w:ind w:left="3518" w:hanging="420"/>
      </w:pPr>
    </w:lvl>
    <w:lvl w:ilvl="5" w:tentative="0">
      <w:start w:val="1"/>
      <w:numFmt w:val="lowerRoman"/>
      <w:lvlText w:val="%6."/>
      <w:lvlJc w:val="right"/>
      <w:pPr>
        <w:tabs>
          <w:tab w:val="left" w:pos="3938"/>
        </w:tabs>
        <w:ind w:left="3938" w:hanging="420"/>
      </w:pPr>
    </w:lvl>
    <w:lvl w:ilvl="6" w:tentative="0">
      <w:start w:val="1"/>
      <w:numFmt w:val="decimal"/>
      <w:lvlText w:val="%7."/>
      <w:lvlJc w:val="left"/>
      <w:pPr>
        <w:tabs>
          <w:tab w:val="left" w:pos="4358"/>
        </w:tabs>
        <w:ind w:left="4358" w:hanging="420"/>
      </w:pPr>
    </w:lvl>
    <w:lvl w:ilvl="7" w:tentative="0">
      <w:start w:val="1"/>
      <w:numFmt w:val="lowerLetter"/>
      <w:lvlText w:val="%8)"/>
      <w:lvlJc w:val="left"/>
      <w:pPr>
        <w:tabs>
          <w:tab w:val="left" w:pos="4778"/>
        </w:tabs>
        <w:ind w:left="4778" w:hanging="420"/>
      </w:pPr>
    </w:lvl>
    <w:lvl w:ilvl="8" w:tentative="0">
      <w:start w:val="1"/>
      <w:numFmt w:val="lowerRoman"/>
      <w:lvlText w:val="%9."/>
      <w:lvlJc w:val="right"/>
      <w:pPr>
        <w:tabs>
          <w:tab w:val="left" w:pos="5198"/>
        </w:tabs>
        <w:ind w:left="5198" w:hanging="420"/>
      </w:p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3"/>
  </w:num>
  <w:num w:numId="6">
    <w:abstractNumId w:val="9"/>
  </w:num>
  <w:num w:numId="7">
    <w:abstractNumId w:val="2"/>
  </w:num>
  <w:num w:numId="8">
    <w:abstractNumId w:val="7"/>
  </w:num>
  <w:num w:numId="9">
    <w:abstractNumId w:val="5"/>
  </w:num>
  <w:num w:numId="10">
    <w:abstractNumId w:val="1"/>
  </w:num>
  <w:num w:numId="11">
    <w:abstractNumId w:val="14"/>
  </w:num>
  <w:num w:numId="12">
    <w:abstractNumId w:val="11"/>
  </w:num>
  <w:num w:numId="13">
    <w:abstractNumId w:val="4"/>
  </w:num>
  <w:num w:numId="14">
    <w:abstractNumId w:val="17"/>
  </w:num>
  <w:num w:numId="15">
    <w:abstractNumId w:val="8"/>
  </w:num>
  <w:num w:numId="16">
    <w:abstractNumId w:val="6"/>
  </w:num>
  <w:num w:numId="17">
    <w:abstractNumId w:val="18"/>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472"/>
    <w:rsid w:val="00004A28"/>
    <w:rsid w:val="00006760"/>
    <w:rsid w:val="00012F0D"/>
    <w:rsid w:val="000202D3"/>
    <w:rsid w:val="00023A2D"/>
    <w:rsid w:val="00024F60"/>
    <w:rsid w:val="0002615D"/>
    <w:rsid w:val="0002635C"/>
    <w:rsid w:val="00035378"/>
    <w:rsid w:val="000409E0"/>
    <w:rsid w:val="00042C53"/>
    <w:rsid w:val="00052FFB"/>
    <w:rsid w:val="000642BA"/>
    <w:rsid w:val="00065C18"/>
    <w:rsid w:val="00081893"/>
    <w:rsid w:val="00095E64"/>
    <w:rsid w:val="00096417"/>
    <w:rsid w:val="000A2135"/>
    <w:rsid w:val="000A2889"/>
    <w:rsid w:val="000B0FCE"/>
    <w:rsid w:val="000C6DF0"/>
    <w:rsid w:val="000C7366"/>
    <w:rsid w:val="000E4BB6"/>
    <w:rsid w:val="000F42F1"/>
    <w:rsid w:val="00100D20"/>
    <w:rsid w:val="0010644F"/>
    <w:rsid w:val="0010654C"/>
    <w:rsid w:val="00112412"/>
    <w:rsid w:val="0011771F"/>
    <w:rsid w:val="0012789C"/>
    <w:rsid w:val="00127DC1"/>
    <w:rsid w:val="00130087"/>
    <w:rsid w:val="00131EF7"/>
    <w:rsid w:val="00133263"/>
    <w:rsid w:val="00136C9A"/>
    <w:rsid w:val="0014122C"/>
    <w:rsid w:val="001563EC"/>
    <w:rsid w:val="00187D1F"/>
    <w:rsid w:val="00190071"/>
    <w:rsid w:val="001923BD"/>
    <w:rsid w:val="00195958"/>
    <w:rsid w:val="001965ED"/>
    <w:rsid w:val="001A0DBE"/>
    <w:rsid w:val="001A0FC3"/>
    <w:rsid w:val="001A11C0"/>
    <w:rsid w:val="001A6DD4"/>
    <w:rsid w:val="001D5174"/>
    <w:rsid w:val="001F253D"/>
    <w:rsid w:val="00200DAF"/>
    <w:rsid w:val="002219EB"/>
    <w:rsid w:val="00223826"/>
    <w:rsid w:val="002268F0"/>
    <w:rsid w:val="00227E97"/>
    <w:rsid w:val="002315E7"/>
    <w:rsid w:val="00232BDA"/>
    <w:rsid w:val="002334B7"/>
    <w:rsid w:val="002374A1"/>
    <w:rsid w:val="00243D85"/>
    <w:rsid w:val="002515EC"/>
    <w:rsid w:val="0025486A"/>
    <w:rsid w:val="00256947"/>
    <w:rsid w:val="00262BFC"/>
    <w:rsid w:val="00276AD1"/>
    <w:rsid w:val="00285D44"/>
    <w:rsid w:val="00291690"/>
    <w:rsid w:val="002A6F3F"/>
    <w:rsid w:val="002C5E56"/>
    <w:rsid w:val="002D52CC"/>
    <w:rsid w:val="002E05C1"/>
    <w:rsid w:val="002E55F0"/>
    <w:rsid w:val="002F2670"/>
    <w:rsid w:val="002F60A2"/>
    <w:rsid w:val="002F6E81"/>
    <w:rsid w:val="002F7BD8"/>
    <w:rsid w:val="003231D5"/>
    <w:rsid w:val="00323AF3"/>
    <w:rsid w:val="00326550"/>
    <w:rsid w:val="00343208"/>
    <w:rsid w:val="00360CEB"/>
    <w:rsid w:val="00361515"/>
    <w:rsid w:val="00362B63"/>
    <w:rsid w:val="0036375F"/>
    <w:rsid w:val="003651CA"/>
    <w:rsid w:val="003677C3"/>
    <w:rsid w:val="00371194"/>
    <w:rsid w:val="00373BF7"/>
    <w:rsid w:val="003851D6"/>
    <w:rsid w:val="00386C4C"/>
    <w:rsid w:val="00390A6B"/>
    <w:rsid w:val="003930B7"/>
    <w:rsid w:val="00395536"/>
    <w:rsid w:val="0039571D"/>
    <w:rsid w:val="003A1619"/>
    <w:rsid w:val="003A37CF"/>
    <w:rsid w:val="003A4C8F"/>
    <w:rsid w:val="003B55D6"/>
    <w:rsid w:val="003B7B83"/>
    <w:rsid w:val="003C0CE8"/>
    <w:rsid w:val="003C602D"/>
    <w:rsid w:val="003D3ED2"/>
    <w:rsid w:val="003E36AA"/>
    <w:rsid w:val="003F1698"/>
    <w:rsid w:val="00402590"/>
    <w:rsid w:val="004157F5"/>
    <w:rsid w:val="00423C6C"/>
    <w:rsid w:val="00425C9A"/>
    <w:rsid w:val="00426BEA"/>
    <w:rsid w:val="00433AA9"/>
    <w:rsid w:val="00454152"/>
    <w:rsid w:val="00454281"/>
    <w:rsid w:val="00454D3E"/>
    <w:rsid w:val="0045796B"/>
    <w:rsid w:val="00462C0E"/>
    <w:rsid w:val="00473DED"/>
    <w:rsid w:val="00474715"/>
    <w:rsid w:val="00475C2D"/>
    <w:rsid w:val="004809BB"/>
    <w:rsid w:val="0048641F"/>
    <w:rsid w:val="00495EBD"/>
    <w:rsid w:val="004A2061"/>
    <w:rsid w:val="004A30AC"/>
    <w:rsid w:val="004A60E2"/>
    <w:rsid w:val="004B213A"/>
    <w:rsid w:val="004B3843"/>
    <w:rsid w:val="004B41FD"/>
    <w:rsid w:val="004D42F4"/>
    <w:rsid w:val="004D7034"/>
    <w:rsid w:val="004E263E"/>
    <w:rsid w:val="004E347E"/>
    <w:rsid w:val="004E59F2"/>
    <w:rsid w:val="004F204F"/>
    <w:rsid w:val="004F2EE4"/>
    <w:rsid w:val="004F4E55"/>
    <w:rsid w:val="004F56BD"/>
    <w:rsid w:val="004F6658"/>
    <w:rsid w:val="005017C8"/>
    <w:rsid w:val="00504B4D"/>
    <w:rsid w:val="00506F09"/>
    <w:rsid w:val="00507612"/>
    <w:rsid w:val="00513C61"/>
    <w:rsid w:val="00520EF1"/>
    <w:rsid w:val="00534453"/>
    <w:rsid w:val="005425D7"/>
    <w:rsid w:val="005442C1"/>
    <w:rsid w:val="005465BF"/>
    <w:rsid w:val="00550257"/>
    <w:rsid w:val="00556046"/>
    <w:rsid w:val="0056494F"/>
    <w:rsid w:val="005728A0"/>
    <w:rsid w:val="00574C21"/>
    <w:rsid w:val="00574E76"/>
    <w:rsid w:val="0057546F"/>
    <w:rsid w:val="00583B8B"/>
    <w:rsid w:val="00584710"/>
    <w:rsid w:val="00590006"/>
    <w:rsid w:val="005B42B5"/>
    <w:rsid w:val="005B6FF5"/>
    <w:rsid w:val="005B764F"/>
    <w:rsid w:val="005E0477"/>
    <w:rsid w:val="005E0F5B"/>
    <w:rsid w:val="005E219D"/>
    <w:rsid w:val="005E2C7B"/>
    <w:rsid w:val="005E7D3F"/>
    <w:rsid w:val="005F442A"/>
    <w:rsid w:val="005F4B05"/>
    <w:rsid w:val="005F6928"/>
    <w:rsid w:val="006014C6"/>
    <w:rsid w:val="006134F3"/>
    <w:rsid w:val="00616D24"/>
    <w:rsid w:val="006464F6"/>
    <w:rsid w:val="0065179B"/>
    <w:rsid w:val="00656529"/>
    <w:rsid w:val="00660F4C"/>
    <w:rsid w:val="00672454"/>
    <w:rsid w:val="00675F43"/>
    <w:rsid w:val="006852C3"/>
    <w:rsid w:val="00692226"/>
    <w:rsid w:val="006922E1"/>
    <w:rsid w:val="006924A5"/>
    <w:rsid w:val="00697C84"/>
    <w:rsid w:val="00697EA2"/>
    <w:rsid w:val="006A1E24"/>
    <w:rsid w:val="006A3CFB"/>
    <w:rsid w:val="006A5297"/>
    <w:rsid w:val="006B03DB"/>
    <w:rsid w:val="006B3EAA"/>
    <w:rsid w:val="006D2952"/>
    <w:rsid w:val="006D7A90"/>
    <w:rsid w:val="006E2BE9"/>
    <w:rsid w:val="006E4E6E"/>
    <w:rsid w:val="006E586C"/>
    <w:rsid w:val="006F3750"/>
    <w:rsid w:val="006F3FD1"/>
    <w:rsid w:val="0070459F"/>
    <w:rsid w:val="007130B3"/>
    <w:rsid w:val="00717ECF"/>
    <w:rsid w:val="00722827"/>
    <w:rsid w:val="00725978"/>
    <w:rsid w:val="0073364E"/>
    <w:rsid w:val="00733F86"/>
    <w:rsid w:val="00745BF0"/>
    <w:rsid w:val="00752DDA"/>
    <w:rsid w:val="007569D1"/>
    <w:rsid w:val="00770A55"/>
    <w:rsid w:val="00770D5B"/>
    <w:rsid w:val="00775E2B"/>
    <w:rsid w:val="007820BA"/>
    <w:rsid w:val="00787705"/>
    <w:rsid w:val="00791481"/>
    <w:rsid w:val="007A0297"/>
    <w:rsid w:val="007A06DC"/>
    <w:rsid w:val="007A12DA"/>
    <w:rsid w:val="007A5385"/>
    <w:rsid w:val="007B3094"/>
    <w:rsid w:val="007B33FE"/>
    <w:rsid w:val="007C443F"/>
    <w:rsid w:val="007C4974"/>
    <w:rsid w:val="007E1307"/>
    <w:rsid w:val="007F3378"/>
    <w:rsid w:val="00816F85"/>
    <w:rsid w:val="00821387"/>
    <w:rsid w:val="00823863"/>
    <w:rsid w:val="00831470"/>
    <w:rsid w:val="00833FCD"/>
    <w:rsid w:val="008345E8"/>
    <w:rsid w:val="00834A72"/>
    <w:rsid w:val="00836637"/>
    <w:rsid w:val="00851B58"/>
    <w:rsid w:val="0085445D"/>
    <w:rsid w:val="0085717E"/>
    <w:rsid w:val="0087147A"/>
    <w:rsid w:val="008766CE"/>
    <w:rsid w:val="00884DB2"/>
    <w:rsid w:val="00897868"/>
    <w:rsid w:val="008A0665"/>
    <w:rsid w:val="008A0C99"/>
    <w:rsid w:val="008A0CB4"/>
    <w:rsid w:val="008B6A1B"/>
    <w:rsid w:val="008C0619"/>
    <w:rsid w:val="008C636B"/>
    <w:rsid w:val="008D023C"/>
    <w:rsid w:val="008D1333"/>
    <w:rsid w:val="008D3897"/>
    <w:rsid w:val="008D5401"/>
    <w:rsid w:val="008D602E"/>
    <w:rsid w:val="008D6C66"/>
    <w:rsid w:val="008E559D"/>
    <w:rsid w:val="008F1D18"/>
    <w:rsid w:val="008F78FA"/>
    <w:rsid w:val="00905EE4"/>
    <w:rsid w:val="009207E3"/>
    <w:rsid w:val="009220D5"/>
    <w:rsid w:val="0092523C"/>
    <w:rsid w:val="009270FE"/>
    <w:rsid w:val="00933CCA"/>
    <w:rsid w:val="00952D96"/>
    <w:rsid w:val="00953642"/>
    <w:rsid w:val="0096445A"/>
    <w:rsid w:val="00964DB4"/>
    <w:rsid w:val="009652AA"/>
    <w:rsid w:val="009736CF"/>
    <w:rsid w:val="0098342B"/>
    <w:rsid w:val="00983475"/>
    <w:rsid w:val="00986B8A"/>
    <w:rsid w:val="00990216"/>
    <w:rsid w:val="00990684"/>
    <w:rsid w:val="00990FCF"/>
    <w:rsid w:val="009C34A2"/>
    <w:rsid w:val="009D2870"/>
    <w:rsid w:val="009E78A6"/>
    <w:rsid w:val="009F22E6"/>
    <w:rsid w:val="00A00404"/>
    <w:rsid w:val="00A00C19"/>
    <w:rsid w:val="00A04652"/>
    <w:rsid w:val="00A1567A"/>
    <w:rsid w:val="00A210BB"/>
    <w:rsid w:val="00A21F71"/>
    <w:rsid w:val="00A222E9"/>
    <w:rsid w:val="00A35C29"/>
    <w:rsid w:val="00A37825"/>
    <w:rsid w:val="00A41FBE"/>
    <w:rsid w:val="00A42317"/>
    <w:rsid w:val="00A44132"/>
    <w:rsid w:val="00A471F4"/>
    <w:rsid w:val="00A72CE7"/>
    <w:rsid w:val="00A742CF"/>
    <w:rsid w:val="00A80CA8"/>
    <w:rsid w:val="00A80D72"/>
    <w:rsid w:val="00A941B1"/>
    <w:rsid w:val="00A95EDE"/>
    <w:rsid w:val="00AA4D6B"/>
    <w:rsid w:val="00AC6C7F"/>
    <w:rsid w:val="00AD0B22"/>
    <w:rsid w:val="00AD0DF8"/>
    <w:rsid w:val="00AD389E"/>
    <w:rsid w:val="00AF7BBE"/>
    <w:rsid w:val="00B45EAB"/>
    <w:rsid w:val="00B4688A"/>
    <w:rsid w:val="00B46B8B"/>
    <w:rsid w:val="00B55516"/>
    <w:rsid w:val="00B74031"/>
    <w:rsid w:val="00B80699"/>
    <w:rsid w:val="00B825B4"/>
    <w:rsid w:val="00B90D42"/>
    <w:rsid w:val="00B93A3A"/>
    <w:rsid w:val="00BA3BED"/>
    <w:rsid w:val="00BA621E"/>
    <w:rsid w:val="00BD54A4"/>
    <w:rsid w:val="00BE0DBC"/>
    <w:rsid w:val="00BE0F1F"/>
    <w:rsid w:val="00BE5122"/>
    <w:rsid w:val="00BF7841"/>
    <w:rsid w:val="00C00522"/>
    <w:rsid w:val="00C017C9"/>
    <w:rsid w:val="00C127E4"/>
    <w:rsid w:val="00C132CA"/>
    <w:rsid w:val="00C15851"/>
    <w:rsid w:val="00C1605B"/>
    <w:rsid w:val="00C20DD1"/>
    <w:rsid w:val="00C27050"/>
    <w:rsid w:val="00C3394E"/>
    <w:rsid w:val="00C34BAE"/>
    <w:rsid w:val="00C44163"/>
    <w:rsid w:val="00C45370"/>
    <w:rsid w:val="00C520A4"/>
    <w:rsid w:val="00C55F47"/>
    <w:rsid w:val="00C63635"/>
    <w:rsid w:val="00C75F1A"/>
    <w:rsid w:val="00C81DE1"/>
    <w:rsid w:val="00C93173"/>
    <w:rsid w:val="00C9581A"/>
    <w:rsid w:val="00C966C2"/>
    <w:rsid w:val="00CB009F"/>
    <w:rsid w:val="00CB4A22"/>
    <w:rsid w:val="00CD23DD"/>
    <w:rsid w:val="00CD796C"/>
    <w:rsid w:val="00CE0472"/>
    <w:rsid w:val="00CE7B40"/>
    <w:rsid w:val="00D0221B"/>
    <w:rsid w:val="00D04838"/>
    <w:rsid w:val="00D06106"/>
    <w:rsid w:val="00D117C0"/>
    <w:rsid w:val="00D11DA5"/>
    <w:rsid w:val="00D170C4"/>
    <w:rsid w:val="00D21133"/>
    <w:rsid w:val="00D21E5F"/>
    <w:rsid w:val="00D54B25"/>
    <w:rsid w:val="00D56AEF"/>
    <w:rsid w:val="00D61B6A"/>
    <w:rsid w:val="00D63561"/>
    <w:rsid w:val="00D65EF8"/>
    <w:rsid w:val="00D74098"/>
    <w:rsid w:val="00D7457B"/>
    <w:rsid w:val="00D80CE3"/>
    <w:rsid w:val="00D900B9"/>
    <w:rsid w:val="00D906DD"/>
    <w:rsid w:val="00DA0E85"/>
    <w:rsid w:val="00DB49E7"/>
    <w:rsid w:val="00DB71AA"/>
    <w:rsid w:val="00DD2B53"/>
    <w:rsid w:val="00DE0FC8"/>
    <w:rsid w:val="00DE1DD6"/>
    <w:rsid w:val="00DE5E7B"/>
    <w:rsid w:val="00DF045C"/>
    <w:rsid w:val="00DF711E"/>
    <w:rsid w:val="00E01AB1"/>
    <w:rsid w:val="00E038BC"/>
    <w:rsid w:val="00E069B4"/>
    <w:rsid w:val="00E069C4"/>
    <w:rsid w:val="00E14792"/>
    <w:rsid w:val="00E168EC"/>
    <w:rsid w:val="00E21E87"/>
    <w:rsid w:val="00E268C2"/>
    <w:rsid w:val="00E323CA"/>
    <w:rsid w:val="00E32AB4"/>
    <w:rsid w:val="00E46CC8"/>
    <w:rsid w:val="00E47C52"/>
    <w:rsid w:val="00E5447B"/>
    <w:rsid w:val="00E56C92"/>
    <w:rsid w:val="00E77BFB"/>
    <w:rsid w:val="00E858EB"/>
    <w:rsid w:val="00E90DF5"/>
    <w:rsid w:val="00E9294F"/>
    <w:rsid w:val="00E94CDA"/>
    <w:rsid w:val="00EA44D6"/>
    <w:rsid w:val="00EA64D4"/>
    <w:rsid w:val="00ED3715"/>
    <w:rsid w:val="00ED53F7"/>
    <w:rsid w:val="00EE3EC2"/>
    <w:rsid w:val="00EE4369"/>
    <w:rsid w:val="00EF1346"/>
    <w:rsid w:val="00EF364F"/>
    <w:rsid w:val="00EF4F0B"/>
    <w:rsid w:val="00F0323E"/>
    <w:rsid w:val="00F069C5"/>
    <w:rsid w:val="00F21427"/>
    <w:rsid w:val="00F23C7A"/>
    <w:rsid w:val="00F31297"/>
    <w:rsid w:val="00F34AC8"/>
    <w:rsid w:val="00F42A36"/>
    <w:rsid w:val="00F42B48"/>
    <w:rsid w:val="00F468FF"/>
    <w:rsid w:val="00F56EF5"/>
    <w:rsid w:val="00F65C69"/>
    <w:rsid w:val="00F71873"/>
    <w:rsid w:val="00F75F27"/>
    <w:rsid w:val="00F8097A"/>
    <w:rsid w:val="00F908F5"/>
    <w:rsid w:val="00FA320F"/>
    <w:rsid w:val="00FA7881"/>
    <w:rsid w:val="00FB3BB4"/>
    <w:rsid w:val="00FC39E9"/>
    <w:rsid w:val="00FC5B45"/>
    <w:rsid w:val="00FE0147"/>
    <w:rsid w:val="00FE4033"/>
    <w:rsid w:val="00FF6ACD"/>
    <w:rsid w:val="010E4849"/>
    <w:rsid w:val="01152F80"/>
    <w:rsid w:val="01D1723E"/>
    <w:rsid w:val="01DC2C37"/>
    <w:rsid w:val="02587693"/>
    <w:rsid w:val="027021AC"/>
    <w:rsid w:val="02B471C0"/>
    <w:rsid w:val="02D86D09"/>
    <w:rsid w:val="02E4304E"/>
    <w:rsid w:val="03643226"/>
    <w:rsid w:val="03A235B6"/>
    <w:rsid w:val="03DA1033"/>
    <w:rsid w:val="03E01E08"/>
    <w:rsid w:val="04302A5D"/>
    <w:rsid w:val="04492A64"/>
    <w:rsid w:val="048A058B"/>
    <w:rsid w:val="04B02525"/>
    <w:rsid w:val="052A74CE"/>
    <w:rsid w:val="053101B7"/>
    <w:rsid w:val="053D792D"/>
    <w:rsid w:val="054364C5"/>
    <w:rsid w:val="056A674A"/>
    <w:rsid w:val="05AC6503"/>
    <w:rsid w:val="05BC36D4"/>
    <w:rsid w:val="060D498C"/>
    <w:rsid w:val="063F4563"/>
    <w:rsid w:val="064A4D52"/>
    <w:rsid w:val="06625347"/>
    <w:rsid w:val="069020DA"/>
    <w:rsid w:val="06DC35B3"/>
    <w:rsid w:val="07530A64"/>
    <w:rsid w:val="07B8616F"/>
    <w:rsid w:val="080E4893"/>
    <w:rsid w:val="0824358D"/>
    <w:rsid w:val="083B0652"/>
    <w:rsid w:val="08641B4C"/>
    <w:rsid w:val="092316E8"/>
    <w:rsid w:val="094C1091"/>
    <w:rsid w:val="09A3718C"/>
    <w:rsid w:val="09A876DD"/>
    <w:rsid w:val="09CC7E72"/>
    <w:rsid w:val="09F004CE"/>
    <w:rsid w:val="0A305EA6"/>
    <w:rsid w:val="0A434397"/>
    <w:rsid w:val="0AAD6FB7"/>
    <w:rsid w:val="0AB763D1"/>
    <w:rsid w:val="0AE60A48"/>
    <w:rsid w:val="0B2B371A"/>
    <w:rsid w:val="0B835D08"/>
    <w:rsid w:val="0BBC7C8E"/>
    <w:rsid w:val="0C1C1752"/>
    <w:rsid w:val="0C274309"/>
    <w:rsid w:val="0C852809"/>
    <w:rsid w:val="0CC75FB5"/>
    <w:rsid w:val="0CF20304"/>
    <w:rsid w:val="0CF206D0"/>
    <w:rsid w:val="0D144329"/>
    <w:rsid w:val="0D3F7506"/>
    <w:rsid w:val="0D552E4B"/>
    <w:rsid w:val="0D874F2F"/>
    <w:rsid w:val="0DE015A3"/>
    <w:rsid w:val="0E031508"/>
    <w:rsid w:val="0E086A44"/>
    <w:rsid w:val="0E90675E"/>
    <w:rsid w:val="0EBE230D"/>
    <w:rsid w:val="0EE607FB"/>
    <w:rsid w:val="0F95058B"/>
    <w:rsid w:val="0F954BC8"/>
    <w:rsid w:val="0FCF53AA"/>
    <w:rsid w:val="10460D13"/>
    <w:rsid w:val="10D975DB"/>
    <w:rsid w:val="114018EA"/>
    <w:rsid w:val="1159208A"/>
    <w:rsid w:val="11AA70FE"/>
    <w:rsid w:val="12030229"/>
    <w:rsid w:val="126F45D7"/>
    <w:rsid w:val="12A36B06"/>
    <w:rsid w:val="12AA1108"/>
    <w:rsid w:val="12ED38C7"/>
    <w:rsid w:val="13072850"/>
    <w:rsid w:val="130D75BB"/>
    <w:rsid w:val="1327026A"/>
    <w:rsid w:val="138774F6"/>
    <w:rsid w:val="139E4974"/>
    <w:rsid w:val="142559B7"/>
    <w:rsid w:val="143B32EA"/>
    <w:rsid w:val="145D4687"/>
    <w:rsid w:val="14734044"/>
    <w:rsid w:val="15333E47"/>
    <w:rsid w:val="1535170D"/>
    <w:rsid w:val="15C86D64"/>
    <w:rsid w:val="167D7AA5"/>
    <w:rsid w:val="16891F79"/>
    <w:rsid w:val="16A27185"/>
    <w:rsid w:val="16C35B41"/>
    <w:rsid w:val="170507CF"/>
    <w:rsid w:val="171C77FD"/>
    <w:rsid w:val="174D0A48"/>
    <w:rsid w:val="17983086"/>
    <w:rsid w:val="17B10E5C"/>
    <w:rsid w:val="18057895"/>
    <w:rsid w:val="185E25CF"/>
    <w:rsid w:val="187011C0"/>
    <w:rsid w:val="187852EA"/>
    <w:rsid w:val="18B14C5A"/>
    <w:rsid w:val="18C942D4"/>
    <w:rsid w:val="196F5186"/>
    <w:rsid w:val="19E81543"/>
    <w:rsid w:val="19EC0A9D"/>
    <w:rsid w:val="19F24F35"/>
    <w:rsid w:val="19F70198"/>
    <w:rsid w:val="1ABF075E"/>
    <w:rsid w:val="1AFE3A65"/>
    <w:rsid w:val="1B212565"/>
    <w:rsid w:val="1B935992"/>
    <w:rsid w:val="1BAD1EB1"/>
    <w:rsid w:val="1BB56713"/>
    <w:rsid w:val="1BD93031"/>
    <w:rsid w:val="1BE90709"/>
    <w:rsid w:val="1C616ED8"/>
    <w:rsid w:val="1CBA7C8C"/>
    <w:rsid w:val="1D1A7D9A"/>
    <w:rsid w:val="1D3E0786"/>
    <w:rsid w:val="1D7C5E94"/>
    <w:rsid w:val="1DCA2358"/>
    <w:rsid w:val="1E076190"/>
    <w:rsid w:val="1E131EA0"/>
    <w:rsid w:val="1E241D67"/>
    <w:rsid w:val="1E8A2ABB"/>
    <w:rsid w:val="1EBE7001"/>
    <w:rsid w:val="1F144542"/>
    <w:rsid w:val="1F7552FB"/>
    <w:rsid w:val="1FA12E37"/>
    <w:rsid w:val="1FE539BD"/>
    <w:rsid w:val="1FF55EFD"/>
    <w:rsid w:val="20190408"/>
    <w:rsid w:val="205B328B"/>
    <w:rsid w:val="20DA7A51"/>
    <w:rsid w:val="20DD395A"/>
    <w:rsid w:val="210356CC"/>
    <w:rsid w:val="215C4C4A"/>
    <w:rsid w:val="220F651E"/>
    <w:rsid w:val="22AC098E"/>
    <w:rsid w:val="22AD052E"/>
    <w:rsid w:val="22DD57FB"/>
    <w:rsid w:val="22F17F73"/>
    <w:rsid w:val="23056108"/>
    <w:rsid w:val="232F3F0D"/>
    <w:rsid w:val="23333122"/>
    <w:rsid w:val="237526AC"/>
    <w:rsid w:val="237B13F2"/>
    <w:rsid w:val="2390220E"/>
    <w:rsid w:val="23D34680"/>
    <w:rsid w:val="24094818"/>
    <w:rsid w:val="24323C82"/>
    <w:rsid w:val="246A41DD"/>
    <w:rsid w:val="24725A84"/>
    <w:rsid w:val="24A43B0C"/>
    <w:rsid w:val="25204625"/>
    <w:rsid w:val="253158A9"/>
    <w:rsid w:val="253A59EC"/>
    <w:rsid w:val="25B96782"/>
    <w:rsid w:val="25C74C1E"/>
    <w:rsid w:val="264A700A"/>
    <w:rsid w:val="26887221"/>
    <w:rsid w:val="268E6AB1"/>
    <w:rsid w:val="26B20DC2"/>
    <w:rsid w:val="26F40576"/>
    <w:rsid w:val="270618E2"/>
    <w:rsid w:val="27517653"/>
    <w:rsid w:val="27605E15"/>
    <w:rsid w:val="279A743E"/>
    <w:rsid w:val="27E427AC"/>
    <w:rsid w:val="28875091"/>
    <w:rsid w:val="29112A7C"/>
    <w:rsid w:val="294B0954"/>
    <w:rsid w:val="299C3E5E"/>
    <w:rsid w:val="29BB3FE5"/>
    <w:rsid w:val="29CF5B7D"/>
    <w:rsid w:val="2A181A31"/>
    <w:rsid w:val="2A5A7E74"/>
    <w:rsid w:val="2A7A3ABC"/>
    <w:rsid w:val="2A9116C5"/>
    <w:rsid w:val="2AA305D7"/>
    <w:rsid w:val="2AAA5EB6"/>
    <w:rsid w:val="2B04567F"/>
    <w:rsid w:val="2B216FB1"/>
    <w:rsid w:val="2B36688E"/>
    <w:rsid w:val="2B5709DC"/>
    <w:rsid w:val="2BCA5937"/>
    <w:rsid w:val="2BE428E6"/>
    <w:rsid w:val="2CCD53E6"/>
    <w:rsid w:val="2D025E71"/>
    <w:rsid w:val="2D4830F9"/>
    <w:rsid w:val="2D4D572B"/>
    <w:rsid w:val="2D8A1267"/>
    <w:rsid w:val="2DA22B95"/>
    <w:rsid w:val="2DAD031F"/>
    <w:rsid w:val="2DC246CD"/>
    <w:rsid w:val="2DFB25F2"/>
    <w:rsid w:val="2E5F5565"/>
    <w:rsid w:val="2ECB2880"/>
    <w:rsid w:val="2EE6715E"/>
    <w:rsid w:val="2F1D6DD0"/>
    <w:rsid w:val="2F5737CC"/>
    <w:rsid w:val="2F6B3A8B"/>
    <w:rsid w:val="2F705CA8"/>
    <w:rsid w:val="2F74521E"/>
    <w:rsid w:val="2FDD7A21"/>
    <w:rsid w:val="3080306B"/>
    <w:rsid w:val="30E23854"/>
    <w:rsid w:val="30F36EDA"/>
    <w:rsid w:val="31AD7582"/>
    <w:rsid w:val="31D36957"/>
    <w:rsid w:val="329E3E94"/>
    <w:rsid w:val="329F4B6E"/>
    <w:rsid w:val="32CF26E0"/>
    <w:rsid w:val="32D14469"/>
    <w:rsid w:val="33087AC3"/>
    <w:rsid w:val="33144EC2"/>
    <w:rsid w:val="332512FD"/>
    <w:rsid w:val="3348214E"/>
    <w:rsid w:val="33664F73"/>
    <w:rsid w:val="33BF456E"/>
    <w:rsid w:val="345D223A"/>
    <w:rsid w:val="346F5800"/>
    <w:rsid w:val="34976CE6"/>
    <w:rsid w:val="34A532C2"/>
    <w:rsid w:val="34CD74E0"/>
    <w:rsid w:val="34E854DA"/>
    <w:rsid w:val="358B12F0"/>
    <w:rsid w:val="35C559C5"/>
    <w:rsid w:val="35F526C2"/>
    <w:rsid w:val="361E4629"/>
    <w:rsid w:val="366B6E34"/>
    <w:rsid w:val="36985F40"/>
    <w:rsid w:val="36C440C1"/>
    <w:rsid w:val="36C62B2C"/>
    <w:rsid w:val="37386CF2"/>
    <w:rsid w:val="38024AA7"/>
    <w:rsid w:val="380D4452"/>
    <w:rsid w:val="38537BBF"/>
    <w:rsid w:val="388153EC"/>
    <w:rsid w:val="3974386B"/>
    <w:rsid w:val="39B06FEB"/>
    <w:rsid w:val="39B95CDE"/>
    <w:rsid w:val="39CE0ED6"/>
    <w:rsid w:val="3A315D26"/>
    <w:rsid w:val="3A4C662B"/>
    <w:rsid w:val="3AB04E42"/>
    <w:rsid w:val="3B025D23"/>
    <w:rsid w:val="3B355240"/>
    <w:rsid w:val="3B684A73"/>
    <w:rsid w:val="3B782BBB"/>
    <w:rsid w:val="3B8A1DED"/>
    <w:rsid w:val="3B986DCD"/>
    <w:rsid w:val="3BAD315D"/>
    <w:rsid w:val="3C0447D4"/>
    <w:rsid w:val="3CA17C13"/>
    <w:rsid w:val="3CA80877"/>
    <w:rsid w:val="3CA975D7"/>
    <w:rsid w:val="3D141D90"/>
    <w:rsid w:val="3D1529AC"/>
    <w:rsid w:val="3D334858"/>
    <w:rsid w:val="3D6654E2"/>
    <w:rsid w:val="3D8B5120"/>
    <w:rsid w:val="3DF50922"/>
    <w:rsid w:val="3EA93230"/>
    <w:rsid w:val="3EAB36CC"/>
    <w:rsid w:val="3EC446BA"/>
    <w:rsid w:val="3F2247FD"/>
    <w:rsid w:val="3FD87274"/>
    <w:rsid w:val="3FE9683F"/>
    <w:rsid w:val="408A528D"/>
    <w:rsid w:val="40B136A5"/>
    <w:rsid w:val="40D22656"/>
    <w:rsid w:val="41677718"/>
    <w:rsid w:val="41DD3728"/>
    <w:rsid w:val="41E760A5"/>
    <w:rsid w:val="427D2AE3"/>
    <w:rsid w:val="42EB4B6B"/>
    <w:rsid w:val="432F59BB"/>
    <w:rsid w:val="434724EA"/>
    <w:rsid w:val="43606CDA"/>
    <w:rsid w:val="439923D7"/>
    <w:rsid w:val="43F1114D"/>
    <w:rsid w:val="43FF3F56"/>
    <w:rsid w:val="443E10E2"/>
    <w:rsid w:val="44707E68"/>
    <w:rsid w:val="447C5361"/>
    <w:rsid w:val="44A5140E"/>
    <w:rsid w:val="44C53023"/>
    <w:rsid w:val="45940EEC"/>
    <w:rsid w:val="45B45D85"/>
    <w:rsid w:val="462E3A51"/>
    <w:rsid w:val="46954AB6"/>
    <w:rsid w:val="46A60FF0"/>
    <w:rsid w:val="475B309E"/>
    <w:rsid w:val="476C74EB"/>
    <w:rsid w:val="478B5450"/>
    <w:rsid w:val="47B1713E"/>
    <w:rsid w:val="48141903"/>
    <w:rsid w:val="48C36222"/>
    <w:rsid w:val="4950095C"/>
    <w:rsid w:val="49593828"/>
    <w:rsid w:val="495C642A"/>
    <w:rsid w:val="49716524"/>
    <w:rsid w:val="499C0F01"/>
    <w:rsid w:val="49E93D8A"/>
    <w:rsid w:val="4A2F4399"/>
    <w:rsid w:val="4A4C04C1"/>
    <w:rsid w:val="4A5A4525"/>
    <w:rsid w:val="4A6960AA"/>
    <w:rsid w:val="4A9B4AEA"/>
    <w:rsid w:val="4B4D0B08"/>
    <w:rsid w:val="4B742C3F"/>
    <w:rsid w:val="4BEA7F0D"/>
    <w:rsid w:val="4CB85C66"/>
    <w:rsid w:val="4CEA37CE"/>
    <w:rsid w:val="4CF50CEC"/>
    <w:rsid w:val="4D0737FF"/>
    <w:rsid w:val="4DC077F6"/>
    <w:rsid w:val="4E103CBF"/>
    <w:rsid w:val="4E1904BF"/>
    <w:rsid w:val="4E58411B"/>
    <w:rsid w:val="4ECC6245"/>
    <w:rsid w:val="4F0B0795"/>
    <w:rsid w:val="4F2E37E0"/>
    <w:rsid w:val="4FCD7146"/>
    <w:rsid w:val="4FE8555B"/>
    <w:rsid w:val="4FF504A9"/>
    <w:rsid w:val="50134939"/>
    <w:rsid w:val="50845FFE"/>
    <w:rsid w:val="509F2EF5"/>
    <w:rsid w:val="50D06B3A"/>
    <w:rsid w:val="5199514B"/>
    <w:rsid w:val="52307144"/>
    <w:rsid w:val="523F3491"/>
    <w:rsid w:val="528F0791"/>
    <w:rsid w:val="52997E03"/>
    <w:rsid w:val="529A6F33"/>
    <w:rsid w:val="52AB306C"/>
    <w:rsid w:val="52AE4395"/>
    <w:rsid w:val="538B75FB"/>
    <w:rsid w:val="538C7098"/>
    <w:rsid w:val="53B75FFA"/>
    <w:rsid w:val="53C22AE2"/>
    <w:rsid w:val="53C9564E"/>
    <w:rsid w:val="54095E76"/>
    <w:rsid w:val="544E7DBE"/>
    <w:rsid w:val="549C083E"/>
    <w:rsid w:val="54DE2532"/>
    <w:rsid w:val="55633219"/>
    <w:rsid w:val="559259BF"/>
    <w:rsid w:val="55C35C0C"/>
    <w:rsid w:val="5693238F"/>
    <w:rsid w:val="5694581D"/>
    <w:rsid w:val="56A149A6"/>
    <w:rsid w:val="56E1676F"/>
    <w:rsid w:val="56FD14D8"/>
    <w:rsid w:val="571C7DF9"/>
    <w:rsid w:val="5783185D"/>
    <w:rsid w:val="57AB5A70"/>
    <w:rsid w:val="57CE125C"/>
    <w:rsid w:val="57D20C37"/>
    <w:rsid w:val="57E63CBE"/>
    <w:rsid w:val="5897755E"/>
    <w:rsid w:val="59325758"/>
    <w:rsid w:val="593F1EF5"/>
    <w:rsid w:val="59473194"/>
    <w:rsid w:val="595A6852"/>
    <w:rsid w:val="595C6DEF"/>
    <w:rsid w:val="59BD303C"/>
    <w:rsid w:val="5A2213C9"/>
    <w:rsid w:val="5A6223A0"/>
    <w:rsid w:val="5A7F30A7"/>
    <w:rsid w:val="5B241C6B"/>
    <w:rsid w:val="5B321474"/>
    <w:rsid w:val="5B3828A8"/>
    <w:rsid w:val="5B5D3571"/>
    <w:rsid w:val="5B956129"/>
    <w:rsid w:val="5BA02B75"/>
    <w:rsid w:val="5BC863F4"/>
    <w:rsid w:val="5BDA69C8"/>
    <w:rsid w:val="5C082C27"/>
    <w:rsid w:val="5C0949AE"/>
    <w:rsid w:val="5D5A7B83"/>
    <w:rsid w:val="5D6936C3"/>
    <w:rsid w:val="5E0531D0"/>
    <w:rsid w:val="5E2C537A"/>
    <w:rsid w:val="5F24260A"/>
    <w:rsid w:val="5F496D16"/>
    <w:rsid w:val="5F507F05"/>
    <w:rsid w:val="5F9D743B"/>
    <w:rsid w:val="5FD27855"/>
    <w:rsid w:val="5FF34F9E"/>
    <w:rsid w:val="60027329"/>
    <w:rsid w:val="601409A3"/>
    <w:rsid w:val="614C67D5"/>
    <w:rsid w:val="614F437A"/>
    <w:rsid w:val="61AA5335"/>
    <w:rsid w:val="61D810DE"/>
    <w:rsid w:val="61FB4A84"/>
    <w:rsid w:val="622F5E87"/>
    <w:rsid w:val="62412C1E"/>
    <w:rsid w:val="62423BEB"/>
    <w:rsid w:val="624F48F1"/>
    <w:rsid w:val="62D04846"/>
    <w:rsid w:val="62D50B01"/>
    <w:rsid w:val="63185595"/>
    <w:rsid w:val="633F6DB6"/>
    <w:rsid w:val="63576CB2"/>
    <w:rsid w:val="638C3485"/>
    <w:rsid w:val="63BD620B"/>
    <w:rsid w:val="63F149F9"/>
    <w:rsid w:val="64724A50"/>
    <w:rsid w:val="647B00A4"/>
    <w:rsid w:val="64AC309C"/>
    <w:rsid w:val="64BE5116"/>
    <w:rsid w:val="652A0319"/>
    <w:rsid w:val="655E38FF"/>
    <w:rsid w:val="65E07014"/>
    <w:rsid w:val="65F93513"/>
    <w:rsid w:val="65FB211B"/>
    <w:rsid w:val="66196534"/>
    <w:rsid w:val="661E7289"/>
    <w:rsid w:val="66233141"/>
    <w:rsid w:val="663714B5"/>
    <w:rsid w:val="667C5830"/>
    <w:rsid w:val="66CF57DA"/>
    <w:rsid w:val="67892181"/>
    <w:rsid w:val="67AE1582"/>
    <w:rsid w:val="67F36F7A"/>
    <w:rsid w:val="686138F0"/>
    <w:rsid w:val="68970092"/>
    <w:rsid w:val="68AA3D74"/>
    <w:rsid w:val="692135C3"/>
    <w:rsid w:val="6926120C"/>
    <w:rsid w:val="69C943D9"/>
    <w:rsid w:val="6A742BAF"/>
    <w:rsid w:val="6A983913"/>
    <w:rsid w:val="6AFD4E68"/>
    <w:rsid w:val="6B3B7ECC"/>
    <w:rsid w:val="6B626E24"/>
    <w:rsid w:val="6B9E5594"/>
    <w:rsid w:val="6BA01DEF"/>
    <w:rsid w:val="6C166290"/>
    <w:rsid w:val="6C64437E"/>
    <w:rsid w:val="6C651DF2"/>
    <w:rsid w:val="6C7C6D54"/>
    <w:rsid w:val="6C8C1BE0"/>
    <w:rsid w:val="6CB63C23"/>
    <w:rsid w:val="6CEE2551"/>
    <w:rsid w:val="6D7428AD"/>
    <w:rsid w:val="6D851840"/>
    <w:rsid w:val="6DB0690F"/>
    <w:rsid w:val="6DBE7714"/>
    <w:rsid w:val="6DC677B1"/>
    <w:rsid w:val="6DF91E0E"/>
    <w:rsid w:val="6E022B15"/>
    <w:rsid w:val="6E396EF1"/>
    <w:rsid w:val="6E3B69FD"/>
    <w:rsid w:val="6E3F2A5F"/>
    <w:rsid w:val="6E471DBB"/>
    <w:rsid w:val="6E770ADC"/>
    <w:rsid w:val="6F2E6001"/>
    <w:rsid w:val="6F713D0F"/>
    <w:rsid w:val="6FD434FE"/>
    <w:rsid w:val="705314A1"/>
    <w:rsid w:val="70BF3B32"/>
    <w:rsid w:val="70D52191"/>
    <w:rsid w:val="71250206"/>
    <w:rsid w:val="712C5530"/>
    <w:rsid w:val="714756DF"/>
    <w:rsid w:val="71995B72"/>
    <w:rsid w:val="719E0E19"/>
    <w:rsid w:val="71D170FD"/>
    <w:rsid w:val="71E52410"/>
    <w:rsid w:val="71E77FF1"/>
    <w:rsid w:val="720E26BD"/>
    <w:rsid w:val="7254155D"/>
    <w:rsid w:val="73400C3E"/>
    <w:rsid w:val="736B52A5"/>
    <w:rsid w:val="73A561F6"/>
    <w:rsid w:val="74053A89"/>
    <w:rsid w:val="74581895"/>
    <w:rsid w:val="745B387F"/>
    <w:rsid w:val="74815F24"/>
    <w:rsid w:val="749E1C69"/>
    <w:rsid w:val="74F664BD"/>
    <w:rsid w:val="757B276E"/>
    <w:rsid w:val="75AB3842"/>
    <w:rsid w:val="75BB1DCB"/>
    <w:rsid w:val="75F44AAF"/>
    <w:rsid w:val="77A14F77"/>
    <w:rsid w:val="781B16D9"/>
    <w:rsid w:val="78C25514"/>
    <w:rsid w:val="7919363C"/>
    <w:rsid w:val="793E3F8A"/>
    <w:rsid w:val="794434CE"/>
    <w:rsid w:val="795A58AD"/>
    <w:rsid w:val="79E12F49"/>
    <w:rsid w:val="79ED340D"/>
    <w:rsid w:val="7A0540E3"/>
    <w:rsid w:val="7A131FC9"/>
    <w:rsid w:val="7A94049C"/>
    <w:rsid w:val="7AAD65E3"/>
    <w:rsid w:val="7AD84BE9"/>
    <w:rsid w:val="7B0342F1"/>
    <w:rsid w:val="7B0B493D"/>
    <w:rsid w:val="7B4537A0"/>
    <w:rsid w:val="7B682E3C"/>
    <w:rsid w:val="7BAB667C"/>
    <w:rsid w:val="7BD727BF"/>
    <w:rsid w:val="7BFF36BA"/>
    <w:rsid w:val="7C567313"/>
    <w:rsid w:val="7C5A1D50"/>
    <w:rsid w:val="7C5B3B26"/>
    <w:rsid w:val="7C6439E6"/>
    <w:rsid w:val="7D217689"/>
    <w:rsid w:val="7D5435F1"/>
    <w:rsid w:val="7D666B3B"/>
    <w:rsid w:val="7D755F8A"/>
    <w:rsid w:val="7DD50060"/>
    <w:rsid w:val="7DD85262"/>
    <w:rsid w:val="7E383C66"/>
    <w:rsid w:val="7E7640AC"/>
    <w:rsid w:val="7E973D34"/>
    <w:rsid w:val="7ECC3CE2"/>
    <w:rsid w:val="7F390749"/>
    <w:rsid w:val="7F794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3"/>
    <w:qFormat/>
    <w:uiPriority w:val="0"/>
    <w:pPr>
      <w:keepNext/>
      <w:keepLines/>
      <w:numPr>
        <w:ilvl w:val="0"/>
        <w:numId w:val="1"/>
      </w:numPr>
      <w:spacing w:before="340" w:after="330" w:line="578" w:lineRule="auto"/>
      <w:outlineLvl w:val="0"/>
    </w:pPr>
    <w:rPr>
      <w:rFonts w:eastAsiaTheme="majorEastAsia"/>
      <w:b/>
      <w:bCs/>
      <w:kern w:val="44"/>
      <w:sz w:val="44"/>
      <w:szCs w:val="44"/>
    </w:rPr>
  </w:style>
  <w:style w:type="paragraph" w:styleId="5">
    <w:name w:val="heading 2"/>
    <w:basedOn w:val="1"/>
    <w:next w:val="3"/>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3"/>
    <w:unhideWhenUsed/>
    <w:qFormat/>
    <w:uiPriority w:val="0"/>
    <w:pPr>
      <w:keepNext/>
      <w:widowControl/>
      <w:numPr>
        <w:ilvl w:val="2"/>
        <w:numId w:val="1"/>
      </w:numPr>
      <w:spacing w:before="260" w:after="260" w:line="412" w:lineRule="auto"/>
      <w:outlineLvl w:val="2"/>
    </w:pPr>
    <w:rPr>
      <w:b/>
      <w:bCs/>
      <w:sz w:val="32"/>
      <w:szCs w:val="32"/>
    </w:rPr>
  </w:style>
  <w:style w:type="paragraph" w:styleId="7">
    <w:name w:val="heading 4"/>
    <w:basedOn w:val="1"/>
    <w:next w:val="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3"/>
    <w:unhideWhenUsed/>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3"/>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4"/>
    <w:qFormat/>
    <w:uiPriority w:val="0"/>
    <w:pPr>
      <w:spacing w:after="0" w:line="360" w:lineRule="auto"/>
      <w:ind w:firstLine="200" w:firstLineChars="200"/>
    </w:pPr>
  </w:style>
  <w:style w:type="paragraph" w:styleId="4">
    <w:name w:val="Body Text"/>
    <w:basedOn w:val="1"/>
    <w:qFormat/>
    <w:uiPriority w:val="0"/>
    <w:pPr>
      <w:spacing w:after="120"/>
    </w:pPr>
  </w:style>
  <w:style w:type="paragraph" w:styleId="10">
    <w:name w:val="Normal Indent"/>
    <w:basedOn w:val="1"/>
    <w:qFormat/>
    <w:uiPriority w:val="0"/>
    <w:pPr>
      <w:ind w:firstLine="420" w:firstLineChars="200"/>
    </w:pPr>
    <w:rPr>
      <w:rFonts w:ascii="Times New Roman" w:hAnsi="Times New Roman" w:eastAsia="宋体" w:cs="Times New Roman"/>
      <w:sz w:val="21"/>
      <w:szCs w:val="24"/>
    </w:rPr>
  </w:style>
  <w:style w:type="paragraph" w:styleId="11">
    <w:name w:val="Document Map"/>
    <w:basedOn w:val="1"/>
    <w:link w:val="36"/>
    <w:qFormat/>
    <w:uiPriority w:val="0"/>
    <w:rPr>
      <w:rFonts w:ascii="宋体" w:eastAsia="宋体"/>
      <w:sz w:val="18"/>
      <w:szCs w:val="18"/>
    </w:rPr>
  </w:style>
  <w:style w:type="paragraph" w:styleId="12">
    <w:name w:val="annotation text"/>
    <w:basedOn w:val="1"/>
    <w:link w:val="32"/>
    <w:qFormat/>
    <w:uiPriority w:val="0"/>
    <w:pPr>
      <w:jc w:val="left"/>
    </w:pPr>
    <w:rPr>
      <w:rFonts w:ascii="Times New Roman" w:hAnsi="Times New Roman" w:eastAsia="宋体" w:cs="Times New Roman"/>
      <w:sz w:val="21"/>
      <w:szCs w:val="24"/>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eastAsia="宋体" w:cs="Times New Roman"/>
      <w:sz w:val="21"/>
      <w:szCs w:val="20"/>
      <w:lang w:val="zh-CN"/>
    </w:rPr>
  </w:style>
  <w:style w:type="paragraph" w:styleId="15">
    <w:name w:val="Balloon Text"/>
    <w:basedOn w:val="1"/>
    <w:link w:val="3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left" w:pos="420"/>
        <w:tab w:val="right" w:leader="dot" w:pos="8296"/>
      </w:tabs>
      <w:spacing w:line="360" w:lineRule="auto"/>
      <w:ind w:firstLine="480"/>
      <w:jc w:val="left"/>
    </w:pPr>
  </w:style>
  <w:style w:type="paragraph" w:styleId="19">
    <w:name w:val="toc 2"/>
    <w:basedOn w:val="1"/>
    <w:next w:val="1"/>
    <w:qFormat/>
    <w:uiPriority w:val="39"/>
    <w:pPr>
      <w:ind w:left="420" w:leftChars="200"/>
    </w:pPr>
  </w:style>
  <w:style w:type="paragraph" w:styleId="20">
    <w:name w:val="annotation subject"/>
    <w:basedOn w:val="12"/>
    <w:next w:val="12"/>
    <w:link w:val="33"/>
    <w:unhideWhenUsed/>
    <w:qFormat/>
    <w:uiPriority w:val="0"/>
    <w:rPr>
      <w:rFonts w:asciiTheme="minorHAnsi" w:hAnsiTheme="minorHAnsi" w:eastAsiaTheme="minorEastAsia" w:cstheme="minorBidi"/>
      <w:b/>
      <w:bCs/>
      <w:sz w:val="24"/>
      <w:szCs w:val="22"/>
    </w:rPr>
  </w:style>
  <w:style w:type="table" w:styleId="22">
    <w:name w:val="Table Grid"/>
    <w:basedOn w:val="2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99"/>
    <w:rPr>
      <w:color w:val="0563C1" w:themeColor="hyperlink"/>
      <w:u w:val="single"/>
      <w14:textFill>
        <w14:solidFill>
          <w14:schemeClr w14:val="hlink"/>
        </w14:solidFill>
      </w14:textFill>
    </w:rPr>
  </w:style>
  <w:style w:type="character" w:styleId="25">
    <w:name w:val="annotation reference"/>
    <w:basedOn w:val="23"/>
    <w:qFormat/>
    <w:uiPriority w:val="0"/>
    <w:rPr>
      <w:sz w:val="21"/>
      <w:szCs w:val="21"/>
    </w:rPr>
  </w:style>
  <w:style w:type="paragraph" w:customStyle="1" w:styleId="26">
    <w:name w:val="TOC 标题1"/>
    <w:basedOn w:val="2"/>
    <w:next w:val="1"/>
    <w:unhideWhenUsed/>
    <w:qFormat/>
    <w:uiPriority w:val="39"/>
    <w:pPr>
      <w:widowControl/>
      <w:numPr>
        <w:numId w:val="0"/>
      </w:numPr>
      <w:spacing w:before="480" w:after="0" w:line="276" w:lineRule="auto"/>
      <w:jc w:val="left"/>
      <w:outlineLvl w:val="9"/>
    </w:pPr>
    <w:rPr>
      <w:rFonts w:asciiTheme="majorHAnsi" w:hAnsiTheme="majorHAnsi" w:cstheme="majorBidi"/>
      <w:color w:val="2E75B6" w:themeColor="accent1" w:themeShade="BF"/>
      <w:kern w:val="0"/>
      <w:sz w:val="28"/>
      <w:szCs w:val="28"/>
    </w:rPr>
  </w:style>
  <w:style w:type="paragraph" w:customStyle="1" w:styleId="27">
    <w:name w:val="样式 正文缩进 + 首行缩进:  2 字符"/>
    <w:basedOn w:val="10"/>
    <w:qFormat/>
    <w:uiPriority w:val="0"/>
    <w:pPr>
      <w:spacing w:line="360" w:lineRule="auto"/>
      <w:ind w:firstLine="200"/>
    </w:pPr>
    <w:rPr>
      <w:rFonts w:cs="宋体"/>
      <w:sz w:val="24"/>
      <w:szCs w:val="20"/>
    </w:rPr>
  </w:style>
  <w:style w:type="paragraph" w:customStyle="1" w:styleId="28">
    <w:name w:val="列出段落1"/>
    <w:basedOn w:val="1"/>
    <w:qFormat/>
    <w:uiPriority w:val="34"/>
    <w:pPr>
      <w:ind w:firstLine="420" w:firstLineChars="200"/>
    </w:pPr>
  </w:style>
  <w:style w:type="paragraph" w:customStyle="1" w:styleId="29">
    <w:name w:val="*正文"/>
    <w:basedOn w:val="1"/>
    <w:qFormat/>
    <w:uiPriority w:val="0"/>
    <w:pPr>
      <w:widowControl/>
      <w:spacing w:line="360" w:lineRule="auto"/>
      <w:ind w:firstLine="480" w:firstLineChars="200"/>
      <w:jc w:val="left"/>
    </w:pPr>
    <w:rPr>
      <w:rFonts w:ascii="仿宋_GB2312" w:eastAsia="仿宋"/>
      <w:szCs w:val="28"/>
    </w:rPr>
  </w:style>
  <w:style w:type="character" w:customStyle="1" w:styleId="30">
    <w:name w:val="页眉 字符"/>
    <w:basedOn w:val="23"/>
    <w:link w:val="17"/>
    <w:qFormat/>
    <w:uiPriority w:val="0"/>
    <w:rPr>
      <w:kern w:val="2"/>
      <w:sz w:val="18"/>
      <w:szCs w:val="18"/>
    </w:rPr>
  </w:style>
  <w:style w:type="character" w:customStyle="1" w:styleId="31">
    <w:name w:val="批注框文本 字符"/>
    <w:basedOn w:val="23"/>
    <w:link w:val="15"/>
    <w:qFormat/>
    <w:uiPriority w:val="0"/>
    <w:rPr>
      <w:kern w:val="2"/>
      <w:sz w:val="18"/>
      <w:szCs w:val="18"/>
    </w:rPr>
  </w:style>
  <w:style w:type="character" w:customStyle="1" w:styleId="32">
    <w:name w:val="批注文字 字符"/>
    <w:basedOn w:val="23"/>
    <w:link w:val="12"/>
    <w:qFormat/>
    <w:uiPriority w:val="0"/>
    <w:rPr>
      <w:rFonts w:ascii="Times New Roman" w:hAnsi="Times New Roman" w:eastAsia="宋体" w:cs="Times New Roman"/>
      <w:kern w:val="2"/>
      <w:sz w:val="21"/>
      <w:szCs w:val="24"/>
    </w:rPr>
  </w:style>
  <w:style w:type="character" w:customStyle="1" w:styleId="33">
    <w:name w:val="批注主题 字符"/>
    <w:basedOn w:val="32"/>
    <w:link w:val="20"/>
    <w:semiHidden/>
    <w:qFormat/>
    <w:uiPriority w:val="0"/>
    <w:rPr>
      <w:rFonts w:ascii="Times New Roman" w:hAnsi="Times New Roman" w:eastAsia="宋体" w:cs="Times New Roman"/>
      <w:b/>
      <w:bCs/>
      <w:kern w:val="2"/>
      <w:sz w:val="24"/>
      <w:szCs w:val="22"/>
    </w:rPr>
  </w:style>
  <w:style w:type="paragraph" w:customStyle="1" w:styleId="34">
    <w:name w:val="修订1"/>
    <w:hidden/>
    <w:semiHidden/>
    <w:qFormat/>
    <w:uiPriority w:val="99"/>
    <w:rPr>
      <w:rFonts w:asciiTheme="minorHAnsi" w:hAnsiTheme="minorHAnsi" w:eastAsiaTheme="minorEastAsia" w:cstheme="minorBidi"/>
      <w:kern w:val="2"/>
      <w:sz w:val="24"/>
      <w:szCs w:val="22"/>
      <w:lang w:val="en-US" w:eastAsia="zh-CN" w:bidi="ar-SA"/>
    </w:rPr>
  </w:style>
  <w:style w:type="paragraph" w:customStyle="1" w:styleId="35">
    <w:name w:val="修订2"/>
    <w:hidden/>
    <w:semiHidden/>
    <w:qFormat/>
    <w:uiPriority w:val="99"/>
    <w:rPr>
      <w:rFonts w:asciiTheme="minorHAnsi" w:hAnsiTheme="minorHAnsi" w:eastAsiaTheme="minorEastAsia" w:cstheme="minorBidi"/>
      <w:kern w:val="2"/>
      <w:sz w:val="24"/>
      <w:szCs w:val="22"/>
      <w:lang w:val="en-US" w:eastAsia="zh-CN" w:bidi="ar-SA"/>
    </w:rPr>
  </w:style>
  <w:style w:type="character" w:customStyle="1" w:styleId="36">
    <w:name w:val="文档结构图 字符"/>
    <w:basedOn w:val="23"/>
    <w:link w:val="11"/>
    <w:qFormat/>
    <w:uiPriority w:val="0"/>
    <w:rPr>
      <w:rFonts w:ascii="宋体" w:eastAsia="宋体"/>
      <w:kern w:val="2"/>
      <w:sz w:val="18"/>
      <w:szCs w:val="18"/>
    </w:rPr>
  </w:style>
  <w:style w:type="paragraph" w:styleId="37">
    <w:name w:val="List Paragraph"/>
    <w:basedOn w:val="1"/>
    <w:link w:val="38"/>
    <w:qFormat/>
    <w:uiPriority w:val="34"/>
    <w:pPr>
      <w:ind w:firstLine="420" w:firstLineChars="200"/>
    </w:pPr>
  </w:style>
  <w:style w:type="character" w:customStyle="1" w:styleId="38">
    <w:name w:val="列表段落 字符"/>
    <w:link w:val="37"/>
    <w:qFormat/>
    <w:uiPriority w:val="34"/>
    <w:rPr>
      <w:kern w:val="2"/>
      <w:sz w:val="24"/>
      <w:szCs w:val="22"/>
    </w:rPr>
  </w:style>
  <w:style w:type="paragraph" w:customStyle="1" w:styleId="39">
    <w:name w:val="H7"/>
    <w:basedOn w:val="1"/>
    <w:next w:val="37"/>
    <w:link w:val="40"/>
    <w:qFormat/>
    <w:uiPriority w:val="34"/>
    <w:pPr>
      <w:ind w:firstLine="420" w:firstLineChars="200"/>
    </w:pPr>
    <w:rPr>
      <w:sz w:val="21"/>
      <w:szCs w:val="24"/>
    </w:rPr>
  </w:style>
  <w:style w:type="character" w:customStyle="1" w:styleId="40">
    <w:name w:val="列出段落 Char"/>
    <w:link w:val="39"/>
    <w:qFormat/>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9419C-E8EE-4202-929B-E48906241C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2372</Words>
  <Characters>13527</Characters>
  <Lines>112</Lines>
  <Paragraphs>31</Paragraphs>
  <TotalTime>457</TotalTime>
  <ScaleCrop>false</ScaleCrop>
  <LinksUpToDate>false</LinksUpToDate>
  <CharactersWithSpaces>15868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2020-07-18T01:29:00Z</dcterms:created>
  <dc:creator>Administrator</dc:creator>
  <cp:lastModifiedBy>张广辉</cp:lastModifiedBy>
  <cp:lastPrinted>2020-08-07T10:24:00Z</cp:lastPrinted>
  <dcterms:modified xsi:type="dcterms:W3CDTF">2020-10-19T11:13:54Z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